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adjustRightInd w:val="0"/>
        <w:snapToGrid w:val="0"/>
        <w:spacing w:line="520" w:lineRule="exact"/>
        <w:ind w:firstLine="720" w:firstLineChars="200"/>
        <w:jc w:val="center"/>
        <w:rPr>
          <w:rFonts w:ascii="方正小标宋简体" w:eastAsia="方正小标宋简体"/>
          <w:sz w:val="36"/>
          <w:szCs w:val="36"/>
        </w:rPr>
      </w:pPr>
      <w:r>
        <w:rPr>
          <w:rFonts w:hint="eastAsia" w:ascii="方正小标宋简体" w:eastAsia="方正小标宋简体"/>
          <w:sz w:val="36"/>
          <w:szCs w:val="36"/>
        </w:rPr>
        <w:t>24.防城港市外事侨务办公室权责清单事项梳理汇总表</w:t>
      </w:r>
    </w:p>
    <w:tbl>
      <w:tblPr>
        <w:tblStyle w:val="4"/>
        <w:tblW w:w="22658"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14"/>
        <w:gridCol w:w="708"/>
        <w:gridCol w:w="709"/>
        <w:gridCol w:w="2410"/>
        <w:gridCol w:w="2126"/>
        <w:gridCol w:w="5103"/>
        <w:gridCol w:w="2126"/>
        <w:gridCol w:w="7513"/>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40" w:type="dxa"/>
            <w:vAlign w:val="center"/>
          </w:tcPr>
          <w:p>
            <w:pPr>
              <w:adjustRightInd w:val="0"/>
              <w:snapToGrid w:val="0"/>
              <w:spacing w:line="240" w:lineRule="exact"/>
              <w:jc w:val="center"/>
              <w:rPr>
                <w:rFonts w:ascii="宋体" w:hAnsi="宋体"/>
                <w:sz w:val="18"/>
                <w:szCs w:val="18"/>
              </w:rPr>
            </w:pPr>
            <w:r>
              <w:rPr>
                <w:rFonts w:hint="eastAsia" w:ascii="宋体" w:hAnsi="宋体"/>
                <w:sz w:val="18"/>
                <w:szCs w:val="18"/>
              </w:rPr>
              <w:t>序号</w:t>
            </w:r>
          </w:p>
        </w:tc>
        <w:tc>
          <w:tcPr>
            <w:tcW w:w="714" w:type="dxa"/>
            <w:vAlign w:val="center"/>
          </w:tcPr>
          <w:p>
            <w:pPr>
              <w:adjustRightInd w:val="0"/>
              <w:snapToGrid w:val="0"/>
              <w:spacing w:line="240" w:lineRule="exact"/>
              <w:jc w:val="center"/>
              <w:rPr>
                <w:rFonts w:ascii="宋体" w:hAnsi="宋体"/>
                <w:sz w:val="18"/>
                <w:szCs w:val="18"/>
              </w:rPr>
            </w:pPr>
            <w:r>
              <w:rPr>
                <w:rFonts w:hint="eastAsia" w:ascii="宋体" w:hAnsi="宋体"/>
                <w:kern w:val="0"/>
                <w:sz w:val="18"/>
                <w:szCs w:val="18"/>
              </w:rPr>
              <w:t>权力分类</w:t>
            </w:r>
          </w:p>
        </w:tc>
        <w:tc>
          <w:tcPr>
            <w:tcW w:w="708" w:type="dxa"/>
            <w:vAlign w:val="center"/>
          </w:tcPr>
          <w:p>
            <w:pPr>
              <w:adjustRightInd w:val="0"/>
              <w:snapToGrid w:val="0"/>
              <w:spacing w:line="240" w:lineRule="exact"/>
              <w:jc w:val="center"/>
              <w:rPr>
                <w:rFonts w:ascii="宋体" w:hAnsi="宋体"/>
                <w:sz w:val="18"/>
                <w:szCs w:val="18"/>
              </w:rPr>
            </w:pPr>
            <w:r>
              <w:rPr>
                <w:rFonts w:hint="eastAsia" w:ascii="宋体" w:hAnsi="宋体"/>
                <w:kern w:val="0"/>
                <w:sz w:val="18"/>
                <w:szCs w:val="18"/>
              </w:rPr>
              <w:t>项目名称</w:t>
            </w:r>
          </w:p>
        </w:tc>
        <w:tc>
          <w:tcPr>
            <w:tcW w:w="709" w:type="dxa"/>
            <w:vAlign w:val="center"/>
          </w:tcPr>
          <w:p>
            <w:pPr>
              <w:adjustRightInd w:val="0"/>
              <w:snapToGrid w:val="0"/>
              <w:spacing w:line="240" w:lineRule="exact"/>
              <w:jc w:val="center"/>
              <w:rPr>
                <w:rFonts w:ascii="宋体" w:hAnsi="宋体"/>
                <w:sz w:val="18"/>
                <w:szCs w:val="18"/>
              </w:rPr>
            </w:pPr>
            <w:r>
              <w:rPr>
                <w:rFonts w:hint="eastAsia" w:ascii="宋体" w:hAnsi="宋体"/>
                <w:kern w:val="0"/>
                <w:sz w:val="18"/>
                <w:szCs w:val="18"/>
              </w:rPr>
              <w:t>子项</w:t>
            </w:r>
          </w:p>
        </w:tc>
        <w:tc>
          <w:tcPr>
            <w:tcW w:w="2410" w:type="dxa"/>
            <w:vAlign w:val="center"/>
          </w:tcPr>
          <w:p>
            <w:pPr>
              <w:adjustRightInd w:val="0"/>
              <w:snapToGrid w:val="0"/>
              <w:spacing w:line="240" w:lineRule="exact"/>
              <w:jc w:val="center"/>
              <w:rPr>
                <w:rFonts w:ascii="宋体" w:hAnsi="宋体"/>
                <w:kern w:val="0"/>
                <w:sz w:val="18"/>
                <w:szCs w:val="18"/>
              </w:rPr>
            </w:pPr>
            <w:r>
              <w:rPr>
                <w:rFonts w:hint="eastAsia" w:ascii="宋体" w:hAnsi="宋体"/>
                <w:kern w:val="0"/>
                <w:sz w:val="18"/>
                <w:szCs w:val="18"/>
              </w:rPr>
              <w:t>实施依据</w:t>
            </w:r>
          </w:p>
        </w:tc>
        <w:tc>
          <w:tcPr>
            <w:tcW w:w="2126" w:type="dxa"/>
            <w:vAlign w:val="center"/>
          </w:tcPr>
          <w:p>
            <w:pPr>
              <w:adjustRightInd w:val="0"/>
              <w:snapToGrid w:val="0"/>
              <w:spacing w:line="240" w:lineRule="exact"/>
              <w:jc w:val="center"/>
              <w:rPr>
                <w:rFonts w:ascii="宋体" w:hAnsi="宋体"/>
                <w:kern w:val="0"/>
                <w:sz w:val="18"/>
                <w:szCs w:val="18"/>
              </w:rPr>
            </w:pPr>
            <w:r>
              <w:rPr>
                <w:rFonts w:hint="eastAsia" w:ascii="宋体" w:hAnsi="宋体"/>
                <w:kern w:val="0"/>
                <w:sz w:val="18"/>
                <w:szCs w:val="18"/>
              </w:rPr>
              <w:t>责任事项</w:t>
            </w:r>
          </w:p>
        </w:tc>
        <w:tc>
          <w:tcPr>
            <w:tcW w:w="5103" w:type="dxa"/>
            <w:vAlign w:val="center"/>
          </w:tcPr>
          <w:p>
            <w:pPr>
              <w:adjustRightInd w:val="0"/>
              <w:snapToGrid w:val="0"/>
              <w:spacing w:line="240" w:lineRule="exact"/>
              <w:jc w:val="center"/>
              <w:rPr>
                <w:rFonts w:ascii="宋体" w:hAnsi="宋体"/>
                <w:kern w:val="0"/>
                <w:sz w:val="18"/>
                <w:szCs w:val="18"/>
              </w:rPr>
            </w:pPr>
            <w:r>
              <w:rPr>
                <w:rFonts w:hint="eastAsia" w:ascii="宋体" w:hAnsi="宋体"/>
                <w:kern w:val="0"/>
                <w:sz w:val="18"/>
                <w:szCs w:val="18"/>
              </w:rPr>
              <w:t>责任事项依据</w:t>
            </w:r>
          </w:p>
        </w:tc>
        <w:tc>
          <w:tcPr>
            <w:tcW w:w="2126" w:type="dxa"/>
            <w:vAlign w:val="center"/>
          </w:tcPr>
          <w:p>
            <w:pPr>
              <w:adjustRightInd w:val="0"/>
              <w:snapToGrid w:val="0"/>
              <w:spacing w:line="240" w:lineRule="exact"/>
              <w:jc w:val="center"/>
              <w:rPr>
                <w:rFonts w:ascii="宋体" w:hAnsi="宋体"/>
                <w:kern w:val="0"/>
                <w:sz w:val="18"/>
                <w:szCs w:val="18"/>
              </w:rPr>
            </w:pPr>
            <w:r>
              <w:rPr>
                <w:rFonts w:hint="eastAsia" w:ascii="宋体" w:hAnsi="宋体"/>
                <w:kern w:val="0"/>
                <w:sz w:val="18"/>
                <w:szCs w:val="18"/>
              </w:rPr>
              <w:t>追责情形</w:t>
            </w:r>
          </w:p>
        </w:tc>
        <w:tc>
          <w:tcPr>
            <w:tcW w:w="7513" w:type="dxa"/>
            <w:vAlign w:val="center"/>
          </w:tcPr>
          <w:p>
            <w:pPr>
              <w:adjustRightInd w:val="0"/>
              <w:snapToGrid w:val="0"/>
              <w:spacing w:line="240" w:lineRule="exact"/>
              <w:jc w:val="center"/>
              <w:rPr>
                <w:rFonts w:ascii="宋体" w:hAnsi="宋体"/>
                <w:kern w:val="0"/>
                <w:sz w:val="18"/>
                <w:szCs w:val="18"/>
              </w:rPr>
            </w:pPr>
            <w:r>
              <w:rPr>
                <w:rFonts w:hint="eastAsia" w:ascii="宋体" w:hAnsi="宋体"/>
                <w:kern w:val="0"/>
                <w:sz w:val="18"/>
                <w:szCs w:val="18"/>
              </w:rPr>
              <w:t>追责依据</w:t>
            </w:r>
          </w:p>
        </w:tc>
        <w:tc>
          <w:tcPr>
            <w:tcW w:w="709" w:type="dxa"/>
            <w:vAlign w:val="center"/>
          </w:tcPr>
          <w:p>
            <w:pPr>
              <w:adjustRightInd w:val="0"/>
              <w:snapToGrid w:val="0"/>
              <w:spacing w:line="240" w:lineRule="exact"/>
              <w:jc w:val="center"/>
              <w:rPr>
                <w:rFonts w:ascii="宋体" w:hAnsi="宋体"/>
                <w:spacing w:val="-6"/>
                <w:sz w:val="18"/>
                <w:szCs w:val="18"/>
              </w:rPr>
            </w:pPr>
            <w:r>
              <w:rPr>
                <w:rFonts w:hint="eastAsia" w:ascii="宋体" w:hAnsi="宋体"/>
                <w:spacing w:val="-6"/>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9" w:hRule="atLeast"/>
        </w:trPr>
        <w:tc>
          <w:tcPr>
            <w:tcW w:w="540" w:type="dxa"/>
            <w:vAlign w:val="center"/>
          </w:tcPr>
          <w:p>
            <w:pPr>
              <w:adjustRightInd w:val="0"/>
              <w:snapToGrid w:val="0"/>
              <w:spacing w:line="240" w:lineRule="exact"/>
              <w:rPr>
                <w:rFonts w:ascii="宋体" w:hAnsi="宋体"/>
                <w:sz w:val="18"/>
                <w:szCs w:val="18"/>
              </w:rPr>
            </w:pPr>
            <w:r>
              <w:rPr>
                <w:rFonts w:ascii="宋体" w:hAnsi="宋体"/>
                <w:sz w:val="18"/>
                <w:szCs w:val="18"/>
              </w:rPr>
              <w:t>1</w:t>
            </w:r>
          </w:p>
        </w:tc>
        <w:tc>
          <w:tcPr>
            <w:tcW w:w="714" w:type="dxa"/>
            <w:vAlign w:val="center"/>
          </w:tcPr>
          <w:p>
            <w:pPr>
              <w:spacing w:line="240" w:lineRule="exact"/>
              <w:rPr>
                <w:rFonts w:ascii="宋体" w:hAnsi="宋体"/>
                <w:sz w:val="18"/>
                <w:szCs w:val="18"/>
              </w:rPr>
            </w:pPr>
            <w:r>
              <w:rPr>
                <w:rFonts w:hint="eastAsia" w:ascii="宋体" w:hAnsi="宋体"/>
                <w:sz w:val="18"/>
                <w:szCs w:val="18"/>
              </w:rPr>
              <w:t>行政许可</w:t>
            </w:r>
          </w:p>
        </w:tc>
        <w:tc>
          <w:tcPr>
            <w:tcW w:w="708" w:type="dxa"/>
            <w:vAlign w:val="center"/>
          </w:tcPr>
          <w:p>
            <w:pPr>
              <w:adjustRightInd w:val="0"/>
              <w:snapToGrid w:val="0"/>
              <w:spacing w:line="240" w:lineRule="exact"/>
              <w:rPr>
                <w:rFonts w:ascii="宋体" w:hAnsi="宋体"/>
                <w:sz w:val="18"/>
                <w:szCs w:val="18"/>
              </w:rPr>
            </w:pPr>
            <w:r>
              <w:rPr>
                <w:rFonts w:hint="eastAsia" w:ascii="宋体" w:hAnsi="宋体"/>
                <w:sz w:val="18"/>
                <w:szCs w:val="18"/>
              </w:rPr>
              <w:t>华侨回国定居审</w:t>
            </w:r>
            <w:r>
              <w:rPr>
                <w:rFonts w:ascii="宋体" w:hAnsi="宋体"/>
                <w:sz w:val="18"/>
                <w:szCs w:val="18"/>
              </w:rPr>
              <w:t xml:space="preserve"> </w:t>
            </w:r>
            <w:r>
              <w:rPr>
                <w:rFonts w:hint="eastAsia" w:ascii="宋体" w:hAnsi="宋体"/>
                <w:sz w:val="18"/>
                <w:szCs w:val="18"/>
              </w:rPr>
              <w:t>批</w:t>
            </w:r>
          </w:p>
        </w:tc>
        <w:tc>
          <w:tcPr>
            <w:tcW w:w="709" w:type="dxa"/>
            <w:vAlign w:val="center"/>
          </w:tcPr>
          <w:p>
            <w:pPr>
              <w:adjustRightInd w:val="0"/>
              <w:snapToGrid w:val="0"/>
              <w:spacing w:line="240" w:lineRule="exact"/>
              <w:rPr>
                <w:rFonts w:ascii="宋体" w:hAnsi="宋体"/>
                <w:sz w:val="18"/>
                <w:szCs w:val="18"/>
              </w:rPr>
            </w:pPr>
          </w:p>
        </w:tc>
        <w:tc>
          <w:tcPr>
            <w:tcW w:w="2410" w:type="dxa"/>
            <w:vAlign w:val="center"/>
          </w:tcPr>
          <w:p>
            <w:pPr>
              <w:adjustRightInd w:val="0"/>
              <w:snapToGrid w:val="0"/>
              <w:spacing w:line="240" w:lineRule="exact"/>
              <w:ind w:firstLine="360" w:firstLineChars="200"/>
              <w:rPr>
                <w:rFonts w:ascii="宋体" w:hAnsi="宋体" w:cs="宋体"/>
                <w:sz w:val="18"/>
                <w:szCs w:val="18"/>
              </w:rPr>
            </w:pPr>
            <w:r>
              <w:rPr>
                <w:rFonts w:hint="eastAsia" w:ascii="宋体" w:hAnsi="宋体" w:cs="宋体"/>
                <w:sz w:val="18"/>
                <w:szCs w:val="18"/>
              </w:rPr>
              <w:t>【法律】</w:t>
            </w:r>
            <w:r>
              <w:rPr>
                <w:rFonts w:hint="eastAsia" w:ascii="宋体" w:hAnsi="宋体" w:cs="宋体"/>
                <w:sz w:val="18"/>
                <w:szCs w:val="18"/>
                <w:lang w:eastAsia="zh-CN"/>
              </w:rPr>
              <w:t>《中华人民共和国出境入境管理法》</w:t>
            </w:r>
            <w:bookmarkStart w:id="0" w:name="_GoBack"/>
            <w:bookmarkEnd w:id="0"/>
            <w:r>
              <w:rPr>
                <w:rFonts w:hint="eastAsia" w:ascii="宋体" w:hAnsi="宋体" w:cs="宋体"/>
                <w:sz w:val="18"/>
                <w:szCs w:val="18"/>
              </w:rPr>
              <w:t>（主席令第五十七号）第十三条</w:t>
            </w:r>
            <w:r>
              <w:rPr>
                <w:rFonts w:ascii="宋体" w:hAnsi="宋体" w:cs="宋体"/>
                <w:sz w:val="18"/>
                <w:szCs w:val="18"/>
              </w:rPr>
              <w:t xml:space="preserve"> </w:t>
            </w:r>
            <w:r>
              <w:rPr>
                <w:rFonts w:hint="eastAsia" w:ascii="宋体" w:hAnsi="宋体" w:cs="宋体"/>
                <w:sz w:val="18"/>
                <w:szCs w:val="18"/>
              </w:rPr>
              <w:t>定居国外的中国公民要求回国定居的，应当在入境前向中华人民共和国驻外使馆、领馆或者外交部委托的其他驻外机构提出申请，也可由本人或者经由国内亲属向拟定居地的县级以上地方人民政府侨务部门提出申请。</w:t>
            </w:r>
          </w:p>
          <w:p>
            <w:pPr>
              <w:adjustRightInd w:val="0"/>
              <w:snapToGrid w:val="0"/>
              <w:spacing w:line="240" w:lineRule="exact"/>
              <w:rPr>
                <w:rFonts w:ascii="宋体" w:hAnsi="宋体" w:cs="宋体"/>
                <w:sz w:val="18"/>
                <w:szCs w:val="18"/>
              </w:rPr>
            </w:pPr>
            <w:r>
              <w:rPr>
                <w:rFonts w:hint="eastAsia" w:ascii="宋体" w:hAnsi="宋体" w:cs="宋体"/>
                <w:sz w:val="18"/>
                <w:szCs w:val="18"/>
              </w:rPr>
              <w:t>【规范性文件】《国务院侨办、公安部、外交部关于印发〈华侨回国定居办理工作规定〉的通知》（国侨发〔</w:t>
            </w:r>
            <w:r>
              <w:rPr>
                <w:rFonts w:ascii="宋体" w:hAnsi="宋体" w:cs="宋体"/>
                <w:sz w:val="18"/>
                <w:szCs w:val="18"/>
              </w:rPr>
              <w:t>2013</w:t>
            </w:r>
            <w:r>
              <w:rPr>
                <w:rFonts w:hint="eastAsia" w:ascii="宋体" w:hAnsi="宋体" w:cs="宋体"/>
                <w:sz w:val="18"/>
                <w:szCs w:val="18"/>
              </w:rPr>
              <w:t>〕</w:t>
            </w:r>
            <w:r>
              <w:rPr>
                <w:rFonts w:ascii="宋体" w:hAnsi="宋体" w:cs="宋体"/>
                <w:sz w:val="18"/>
                <w:szCs w:val="18"/>
              </w:rPr>
              <w:t>18</w:t>
            </w:r>
            <w:r>
              <w:rPr>
                <w:rFonts w:hint="eastAsia" w:ascii="宋体" w:hAnsi="宋体" w:cs="宋体"/>
                <w:sz w:val="18"/>
                <w:szCs w:val="18"/>
              </w:rPr>
              <w:t>号）第七条　市级人民政府侨务部门收到县级人民政府侨务部门报送的申请材料后，应当对申请材料进行复核，于五个工作日内提出复核意见报省级人民政府侨务部门审批。</w:t>
            </w:r>
          </w:p>
          <w:p>
            <w:pPr>
              <w:adjustRightInd w:val="0"/>
              <w:snapToGrid w:val="0"/>
              <w:spacing w:line="240" w:lineRule="exact"/>
              <w:ind w:firstLine="360" w:firstLineChars="200"/>
              <w:rPr>
                <w:rFonts w:ascii="宋体" w:hAnsi="宋体" w:cs="宋体"/>
                <w:sz w:val="18"/>
                <w:szCs w:val="18"/>
              </w:rPr>
            </w:pPr>
            <w:r>
              <w:rPr>
                <w:rFonts w:hint="eastAsia" w:ascii="宋体" w:hAnsi="宋体" w:cs="宋体"/>
                <w:sz w:val="18"/>
                <w:szCs w:val="18"/>
              </w:rPr>
              <w:t>华侨回国定居申请数量较多的省、自治区，可以由市级人民政府侨务部门审批华侨回国定居申请。</w:t>
            </w:r>
          </w:p>
        </w:tc>
        <w:tc>
          <w:tcPr>
            <w:tcW w:w="2126" w:type="dxa"/>
            <w:vAlign w:val="center"/>
          </w:tcPr>
          <w:p>
            <w:pPr>
              <w:adjustRightInd w:val="0"/>
              <w:snapToGrid w:val="0"/>
              <w:spacing w:line="240" w:lineRule="exact"/>
              <w:ind w:right="-107" w:rightChars="-51"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受理责任：在办公场所公示依法应当提交的材料；一次性告知补正材料；依法受理或不予受理（不予受理应当告知理由）。</w:t>
            </w:r>
          </w:p>
          <w:p>
            <w:pPr>
              <w:adjustRightInd w:val="0"/>
              <w:snapToGrid w:val="0"/>
              <w:spacing w:line="240" w:lineRule="exact"/>
              <w:rPr>
                <w:rFonts w:ascii="宋体" w:hAnsi="宋体" w:cs="宋体"/>
                <w:sz w:val="18"/>
                <w:szCs w:val="18"/>
              </w:rPr>
            </w:pPr>
            <w:r>
              <w:rPr>
                <w:rFonts w:ascii="宋体" w:hAnsi="宋体" w:cs="宋体"/>
                <w:sz w:val="18"/>
                <w:szCs w:val="18"/>
              </w:rPr>
              <w:t>2.</w:t>
            </w:r>
            <w:r>
              <w:rPr>
                <w:rFonts w:hint="eastAsia" w:ascii="宋体" w:hAnsi="宋体" w:cs="宋体"/>
                <w:sz w:val="18"/>
                <w:szCs w:val="18"/>
              </w:rPr>
              <w:t>审查责任：依据《自治区侨务办公室、公安厅、外事办公室关于印发〈广西壮族自治区华侨回国定居办理工作实施办法（试行）〉的通知》对项目申请材料进行审查。</w:t>
            </w:r>
          </w:p>
          <w:p>
            <w:pPr>
              <w:adjustRightInd w:val="0"/>
              <w:snapToGrid w:val="0"/>
              <w:spacing w:line="240" w:lineRule="exact"/>
              <w:rPr>
                <w:rFonts w:ascii="宋体" w:hAnsi="宋体" w:cs="宋体"/>
                <w:sz w:val="18"/>
                <w:szCs w:val="18"/>
              </w:rPr>
            </w:pPr>
            <w:r>
              <w:rPr>
                <w:rFonts w:ascii="宋体" w:hAnsi="宋体" w:cs="宋体"/>
                <w:sz w:val="18"/>
                <w:szCs w:val="18"/>
              </w:rPr>
              <w:t>3.</w:t>
            </w:r>
            <w:r>
              <w:rPr>
                <w:rFonts w:hint="eastAsia" w:ascii="宋体" w:hAnsi="宋体" w:cs="宋体"/>
                <w:sz w:val="18"/>
                <w:szCs w:val="18"/>
              </w:rPr>
              <w:t>决定责任：作出许可决定、审核意见或不予许可决定，法定告知（不予许可的书面告知并说明理由）。</w:t>
            </w:r>
          </w:p>
          <w:p>
            <w:pPr>
              <w:adjustRightInd w:val="0"/>
              <w:snapToGrid w:val="0"/>
              <w:spacing w:line="240" w:lineRule="exact"/>
              <w:rPr>
                <w:rFonts w:ascii="宋体" w:hAnsi="宋体" w:cs="宋体"/>
                <w:sz w:val="18"/>
                <w:szCs w:val="18"/>
              </w:rPr>
            </w:pPr>
            <w:r>
              <w:rPr>
                <w:rFonts w:ascii="宋体" w:hAnsi="宋体" w:cs="宋体"/>
                <w:sz w:val="18"/>
                <w:szCs w:val="18"/>
              </w:rPr>
              <w:t>4.</w:t>
            </w:r>
            <w:r>
              <w:rPr>
                <w:rFonts w:hint="eastAsia" w:ascii="宋体" w:hAnsi="宋体" w:cs="宋体"/>
                <w:sz w:val="18"/>
                <w:szCs w:val="18"/>
              </w:rPr>
              <w:t>送达责任：制发许可决定书，按规定抄送有关部门，信息公开。</w:t>
            </w:r>
          </w:p>
          <w:p>
            <w:pPr>
              <w:adjustRightInd w:val="0"/>
              <w:snapToGrid w:val="0"/>
              <w:spacing w:line="240" w:lineRule="exact"/>
              <w:rPr>
                <w:rFonts w:ascii="宋体" w:hAnsi="宋体" w:cs="宋体"/>
                <w:sz w:val="18"/>
                <w:szCs w:val="18"/>
              </w:rPr>
            </w:pPr>
            <w:r>
              <w:rPr>
                <w:rFonts w:ascii="宋体" w:hAnsi="宋体" w:cs="宋体"/>
                <w:sz w:val="18"/>
                <w:szCs w:val="18"/>
              </w:rPr>
              <w:t>5.</w:t>
            </w:r>
            <w:r>
              <w:rPr>
                <w:rFonts w:hint="eastAsia" w:ascii="宋体" w:hAnsi="宋体" w:cs="宋体"/>
                <w:sz w:val="18"/>
                <w:szCs w:val="18"/>
              </w:rPr>
              <w:t>事后监督责任：开展后续监督管理。</w:t>
            </w:r>
          </w:p>
          <w:p>
            <w:pPr>
              <w:adjustRightInd w:val="0"/>
              <w:snapToGrid w:val="0"/>
              <w:spacing w:line="240" w:lineRule="exact"/>
              <w:rPr>
                <w:rFonts w:ascii="宋体" w:hAnsi="宋体"/>
                <w:sz w:val="18"/>
                <w:szCs w:val="18"/>
              </w:rPr>
            </w:pPr>
            <w:r>
              <w:rPr>
                <w:rFonts w:ascii="宋体" w:hAnsi="宋体" w:cs="宋体"/>
                <w:sz w:val="18"/>
                <w:szCs w:val="18"/>
              </w:rPr>
              <w:t>6.</w:t>
            </w:r>
            <w:r>
              <w:rPr>
                <w:rFonts w:hint="eastAsia" w:ascii="宋体" w:hAnsi="宋体" w:cs="宋体"/>
                <w:sz w:val="18"/>
                <w:szCs w:val="18"/>
              </w:rPr>
              <w:t>其他法律法规政策规定应履行的责任。</w:t>
            </w:r>
          </w:p>
        </w:tc>
        <w:tc>
          <w:tcPr>
            <w:tcW w:w="5103" w:type="dxa"/>
            <w:vAlign w:val="center"/>
          </w:tcPr>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1-1.</w:t>
            </w:r>
            <w:r>
              <w:rPr>
                <w:rFonts w:hint="eastAsia" w:ascii="宋体" w:hAnsi="宋体" w:cs="宋体"/>
                <w:sz w:val="18"/>
                <w:szCs w:val="18"/>
              </w:rPr>
              <w:t>【法律】《中华人民共和国行政许可法》（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号公布）第三十条</w:t>
            </w:r>
            <w:r>
              <w:rPr>
                <w:rFonts w:ascii="宋体" w:hAnsi="宋体" w:cs="宋体"/>
                <w:sz w:val="18"/>
                <w:szCs w:val="18"/>
              </w:rPr>
              <w:t xml:space="preserve"> </w:t>
            </w:r>
            <w:r>
              <w:rPr>
                <w:rFonts w:hint="eastAsia" w:ascii="宋体" w:hAnsi="宋体" w:cs="宋体"/>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1-2.</w:t>
            </w:r>
            <w:r>
              <w:rPr>
                <w:rFonts w:hint="eastAsia" w:ascii="宋体" w:hAnsi="宋体" w:cs="宋体"/>
                <w:sz w:val="18"/>
                <w:szCs w:val="18"/>
              </w:rPr>
              <w:t>【规范性文件】《自治区侨务办公室、公安厅、外事办公室关于印发〈广西壮族自治区华侨回国定居办理工作实施办法（试行）〉的通知》（桂侨政发</w:t>
            </w:r>
            <w:r>
              <w:rPr>
                <w:rFonts w:ascii="宋体" w:hAnsi="宋体" w:cs="宋体"/>
                <w:sz w:val="18"/>
                <w:szCs w:val="18"/>
              </w:rPr>
              <w:t>[2013]30</w:t>
            </w:r>
            <w:r>
              <w:rPr>
                <w:rFonts w:hint="eastAsia" w:ascii="宋体" w:hAnsi="宋体" w:cs="宋体"/>
                <w:sz w:val="18"/>
                <w:szCs w:val="18"/>
              </w:rPr>
              <w:t>号）第三条</w:t>
            </w:r>
            <w:r>
              <w:rPr>
                <w:rFonts w:ascii="宋体" w:hAnsi="宋体" w:cs="宋体"/>
                <w:sz w:val="18"/>
                <w:szCs w:val="18"/>
              </w:rPr>
              <w:t xml:space="preserve">  </w:t>
            </w:r>
            <w:r>
              <w:rPr>
                <w:rFonts w:hint="eastAsia" w:ascii="宋体" w:hAnsi="宋体" w:cs="宋体"/>
                <w:sz w:val="18"/>
                <w:szCs w:val="18"/>
              </w:rPr>
              <w:t>华侨申请回国定居，原则上应在原户籍注销地申请。确有特殊情况的，也可在非原户籍注销地申请定居。原已注销户口为普通高等院校、普通中等专业学校学生集体户口的，在入学前常住户口所在地申请。第十二条</w:t>
            </w:r>
            <w:r>
              <w:rPr>
                <w:rFonts w:ascii="宋体" w:hAnsi="宋体" w:cs="宋体"/>
                <w:sz w:val="18"/>
                <w:szCs w:val="18"/>
              </w:rPr>
              <w:t xml:space="preserve">  </w:t>
            </w:r>
            <w:r>
              <w:rPr>
                <w:rFonts w:hint="eastAsia" w:ascii="宋体" w:hAnsi="宋体" w:cs="宋体"/>
                <w:sz w:val="18"/>
                <w:szCs w:val="18"/>
              </w:rPr>
              <w:t>受理申请的县级人民政府侨务部门在收到申请材料后，应当对申请人所提交的申请材料进行调查核实，并在</w:t>
            </w:r>
            <w:r>
              <w:rPr>
                <w:rFonts w:ascii="宋体" w:hAnsi="宋体" w:cs="宋体"/>
                <w:sz w:val="18"/>
                <w:szCs w:val="18"/>
              </w:rPr>
              <w:t>5</w:t>
            </w:r>
            <w:r>
              <w:rPr>
                <w:rFonts w:hint="eastAsia" w:ascii="宋体" w:hAnsi="宋体" w:cs="宋体"/>
                <w:sz w:val="18"/>
                <w:szCs w:val="18"/>
              </w:rPr>
              <w:t>个工作日内书面征求同级公安机关在户政管理方面的意见。公安机关应当在收到同级人民政府侨务部门的征询函后，于</w:t>
            </w:r>
            <w:r>
              <w:rPr>
                <w:rFonts w:ascii="宋体" w:hAnsi="宋体" w:cs="宋体"/>
                <w:sz w:val="18"/>
                <w:szCs w:val="18"/>
              </w:rPr>
              <w:t>10</w:t>
            </w:r>
            <w:r>
              <w:rPr>
                <w:rFonts w:hint="eastAsia" w:ascii="宋体" w:hAnsi="宋体" w:cs="宋体"/>
                <w:sz w:val="18"/>
                <w:szCs w:val="18"/>
              </w:rPr>
              <w:t>个工作日内提出意见并书面回复侨务部门。第十三条</w:t>
            </w:r>
            <w:r>
              <w:rPr>
                <w:rFonts w:ascii="宋体" w:hAnsi="宋体" w:cs="宋体"/>
                <w:sz w:val="18"/>
                <w:szCs w:val="18"/>
              </w:rPr>
              <w:t xml:space="preserve">  </w:t>
            </w:r>
            <w:r>
              <w:rPr>
                <w:rFonts w:hint="eastAsia" w:ascii="宋体" w:hAnsi="宋体" w:cs="宋体"/>
                <w:sz w:val="18"/>
                <w:szCs w:val="18"/>
              </w:rPr>
              <w:t>受理申请的县级人民政府侨务部门应当在收到公安机关意见后</w:t>
            </w:r>
            <w:r>
              <w:rPr>
                <w:rFonts w:ascii="宋体" w:hAnsi="宋体" w:cs="宋体"/>
                <w:sz w:val="18"/>
                <w:szCs w:val="18"/>
              </w:rPr>
              <w:t>5</w:t>
            </w:r>
            <w:r>
              <w:rPr>
                <w:rFonts w:hint="eastAsia" w:ascii="宋体" w:hAnsi="宋体" w:cs="宋体"/>
                <w:sz w:val="18"/>
                <w:szCs w:val="18"/>
              </w:rPr>
              <w:t>个工作日内提出初审意见并报地级市人民政府侨务部门。第十四条</w:t>
            </w:r>
            <w:r>
              <w:rPr>
                <w:rFonts w:ascii="宋体" w:hAnsi="宋体" w:cs="宋体"/>
                <w:sz w:val="18"/>
                <w:szCs w:val="18"/>
              </w:rPr>
              <w:t xml:space="preserve">  </w:t>
            </w:r>
            <w:r>
              <w:rPr>
                <w:rFonts w:hint="eastAsia" w:ascii="宋体" w:hAnsi="宋体" w:cs="宋体"/>
                <w:sz w:val="18"/>
                <w:szCs w:val="18"/>
              </w:rPr>
              <w:t>华侨申请定居地未设置县级人民政府侨务部门，由地级市人民政府侨务部门直接受理华侨申请的，地级市人民政府侨务部门应当对申请人所提交的申请材料进行调查核实，并在</w:t>
            </w:r>
            <w:r>
              <w:rPr>
                <w:rFonts w:ascii="宋体" w:hAnsi="宋体" w:cs="宋体"/>
                <w:sz w:val="18"/>
                <w:szCs w:val="18"/>
              </w:rPr>
              <w:t>5</w:t>
            </w:r>
            <w:r>
              <w:rPr>
                <w:rFonts w:hint="eastAsia" w:ascii="宋体" w:hAnsi="宋体" w:cs="宋体"/>
                <w:sz w:val="18"/>
                <w:szCs w:val="18"/>
              </w:rPr>
              <w:t>个工作日内书面征求同级公安机关在户政管理和出入境管理方面的意见。公安机关应当在</w:t>
            </w:r>
            <w:r>
              <w:rPr>
                <w:rFonts w:ascii="宋体" w:hAnsi="宋体" w:cs="宋体"/>
                <w:sz w:val="18"/>
                <w:szCs w:val="18"/>
              </w:rPr>
              <w:t>10</w:t>
            </w:r>
            <w:r>
              <w:rPr>
                <w:rFonts w:hint="eastAsia" w:ascii="宋体" w:hAnsi="宋体" w:cs="宋体"/>
                <w:sz w:val="18"/>
                <w:szCs w:val="18"/>
              </w:rPr>
              <w:t>个工作日内提出意见并书面回复侨务部门。第十五条</w:t>
            </w:r>
            <w:r>
              <w:rPr>
                <w:rFonts w:ascii="宋体" w:hAnsi="宋体" w:cs="宋体"/>
                <w:sz w:val="18"/>
                <w:szCs w:val="18"/>
              </w:rPr>
              <w:t xml:space="preserve">  </w:t>
            </w:r>
            <w:r>
              <w:rPr>
                <w:rFonts w:hint="eastAsia" w:ascii="宋体" w:hAnsi="宋体" w:cs="宋体"/>
                <w:sz w:val="18"/>
                <w:szCs w:val="18"/>
              </w:rPr>
              <w:t>地级市人民政府侨务部门收到县级人民政府侨务部门上报材料后，应当在</w:t>
            </w:r>
            <w:r>
              <w:rPr>
                <w:rFonts w:ascii="宋体" w:hAnsi="宋体" w:cs="宋体"/>
                <w:sz w:val="18"/>
                <w:szCs w:val="18"/>
              </w:rPr>
              <w:t>3</w:t>
            </w:r>
            <w:r>
              <w:rPr>
                <w:rFonts w:hint="eastAsia" w:ascii="宋体" w:hAnsi="宋体" w:cs="宋体"/>
                <w:sz w:val="18"/>
                <w:szCs w:val="18"/>
              </w:rPr>
              <w:t>个工作日内，送同级公安机关出入境管理部门核查华侨出入境信息和出入境证件签发信息及其他情况，公安机关出入境管理部门应当在收到侨务部门的核查函后，于</w:t>
            </w:r>
            <w:r>
              <w:rPr>
                <w:rFonts w:ascii="宋体" w:hAnsi="宋体" w:cs="宋体"/>
                <w:sz w:val="18"/>
                <w:szCs w:val="18"/>
              </w:rPr>
              <w:t>7</w:t>
            </w:r>
            <w:r>
              <w:rPr>
                <w:rFonts w:hint="eastAsia" w:ascii="宋体" w:hAnsi="宋体" w:cs="宋体"/>
                <w:sz w:val="18"/>
                <w:szCs w:val="18"/>
              </w:rPr>
              <w:t>个工作日内完成核查工作并书面回复侨务部门。</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同</w:t>
            </w:r>
            <w:r>
              <w:rPr>
                <w:rFonts w:ascii="宋体" w:hAnsi="宋体" w:cs="宋体"/>
                <w:sz w:val="18"/>
                <w:szCs w:val="18"/>
              </w:rPr>
              <w:t>1</w:t>
            </w:r>
            <w:r>
              <w:rPr>
                <w:rFonts w:hint="eastAsia" w:ascii="宋体" w:hAnsi="宋体" w:cs="宋体"/>
                <w:sz w:val="18"/>
                <w:szCs w:val="18"/>
              </w:rPr>
              <w:t>。</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3.</w:t>
            </w:r>
            <w:r>
              <w:rPr>
                <w:rFonts w:hint="eastAsia" w:ascii="宋体" w:hAnsi="宋体" w:cs="宋体"/>
                <w:sz w:val="18"/>
                <w:szCs w:val="18"/>
              </w:rPr>
              <w:t>【法律】《中华人民共和国行政许可法》（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号公布）第三十七条</w:t>
            </w:r>
            <w:r>
              <w:rPr>
                <w:rFonts w:ascii="宋体" w:hAnsi="宋体" w:cs="宋体"/>
                <w:sz w:val="18"/>
                <w:szCs w:val="18"/>
              </w:rPr>
              <w:t xml:space="preserve"> </w:t>
            </w:r>
            <w:r>
              <w:rPr>
                <w:rFonts w:hint="eastAsia" w:ascii="宋体" w:hAnsi="宋体" w:cs="宋体"/>
                <w:sz w:val="18"/>
                <w:szCs w:val="18"/>
              </w:rPr>
              <w:t>行政机关对行政许可申请进行审查后，除当场作出行政许可决定的外，应当在法定期限内按照规定程序作出行政许可决定。</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4</w:t>
            </w:r>
            <w:r>
              <w:rPr>
                <w:rFonts w:hint="eastAsia" w:ascii="宋体" w:hAnsi="宋体" w:cs="宋体"/>
                <w:sz w:val="18"/>
                <w:szCs w:val="18"/>
              </w:rPr>
              <w:t>.【法律】《中华人民共和国行政许可法》（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号公布）第四十条</w:t>
            </w:r>
            <w:r>
              <w:rPr>
                <w:rFonts w:ascii="宋体" w:hAnsi="宋体" w:cs="宋体"/>
                <w:sz w:val="18"/>
                <w:szCs w:val="18"/>
              </w:rPr>
              <w:t xml:space="preserve"> </w:t>
            </w:r>
            <w:r>
              <w:rPr>
                <w:rFonts w:hint="eastAsia" w:ascii="宋体" w:hAnsi="宋体" w:cs="宋体"/>
                <w:sz w:val="18"/>
                <w:szCs w:val="18"/>
              </w:rPr>
              <w:t>行政机关作出的准予行政许可决定，应当予以公开，公众有权查阅。第四十四条</w:t>
            </w:r>
            <w:r>
              <w:rPr>
                <w:rFonts w:ascii="宋体" w:hAnsi="宋体" w:cs="宋体"/>
                <w:sz w:val="18"/>
                <w:szCs w:val="18"/>
              </w:rPr>
              <w:t xml:space="preserve"> </w:t>
            </w:r>
            <w:r>
              <w:rPr>
                <w:rFonts w:hint="eastAsia" w:ascii="宋体" w:hAnsi="宋体" w:cs="宋体"/>
                <w:sz w:val="18"/>
                <w:szCs w:val="18"/>
              </w:rPr>
              <w:t>行政机关作出准予行政许可的决定，应当自作出决定之日起十日内向申请人颁发、送达行政许可证件，或者加贴标签、加盖检验、检测、检疫印章。</w:t>
            </w:r>
          </w:p>
          <w:p>
            <w:pPr>
              <w:adjustRightInd w:val="0"/>
              <w:snapToGrid w:val="0"/>
              <w:spacing w:line="240" w:lineRule="exact"/>
              <w:ind w:firstLine="360" w:firstLineChars="200"/>
              <w:rPr>
                <w:rFonts w:ascii="宋体" w:hAnsi="宋体"/>
                <w:sz w:val="18"/>
                <w:szCs w:val="18"/>
              </w:rPr>
            </w:pPr>
            <w:r>
              <w:rPr>
                <w:rFonts w:ascii="宋体" w:hAnsi="宋体" w:cs="宋体"/>
                <w:sz w:val="18"/>
                <w:szCs w:val="18"/>
              </w:rPr>
              <w:t>5.</w:t>
            </w:r>
            <w:r>
              <w:rPr>
                <w:rFonts w:hint="eastAsia" w:ascii="宋体" w:hAnsi="宋体" w:cs="宋体"/>
                <w:sz w:val="18"/>
                <w:szCs w:val="18"/>
              </w:rPr>
              <w:t>同</w:t>
            </w:r>
            <w:r>
              <w:rPr>
                <w:rFonts w:ascii="宋体" w:hAnsi="宋体" w:cs="宋体"/>
                <w:sz w:val="18"/>
                <w:szCs w:val="18"/>
              </w:rPr>
              <w:t>1</w:t>
            </w:r>
            <w:r>
              <w:rPr>
                <w:rFonts w:hint="eastAsia" w:ascii="宋体" w:hAnsi="宋体" w:cs="宋体"/>
                <w:sz w:val="18"/>
                <w:szCs w:val="18"/>
              </w:rPr>
              <w:t>。</w:t>
            </w:r>
          </w:p>
        </w:tc>
        <w:tc>
          <w:tcPr>
            <w:tcW w:w="2126" w:type="dxa"/>
            <w:vAlign w:val="center"/>
          </w:tcPr>
          <w:p>
            <w:pPr>
              <w:adjustRightInd w:val="0"/>
              <w:snapToGrid w:val="0"/>
              <w:spacing w:line="240" w:lineRule="exact"/>
              <w:ind w:firstLine="360" w:firstLineChars="200"/>
              <w:rPr>
                <w:rFonts w:ascii="宋体" w:hAnsi="宋体" w:cs="宋体"/>
                <w:sz w:val="18"/>
                <w:szCs w:val="18"/>
              </w:rPr>
            </w:pPr>
            <w:r>
              <w:rPr>
                <w:rFonts w:hint="eastAsia" w:ascii="宋体" w:hAnsi="宋体" w:cs="宋体"/>
                <w:sz w:val="18"/>
                <w:szCs w:val="18"/>
              </w:rPr>
              <w:t>因不履行或不正确履行行政职责，有下列情形的，行政机关及相关工作人员应承担相应责任：</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对符合法定条件的申请不予受理的；</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对符合华侨回国定居办理、核发许可条件的申请人不予行政许可或者不在法定期限内作出准予行政许可决定的；</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3.</w:t>
            </w:r>
            <w:r>
              <w:rPr>
                <w:rFonts w:hint="eastAsia" w:ascii="宋体" w:hAnsi="宋体" w:cs="宋体"/>
                <w:sz w:val="18"/>
                <w:szCs w:val="18"/>
              </w:rPr>
              <w:t>对不符合华侨回国定居办理、核发许可条件的申请人准予行政许可的；</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4.</w:t>
            </w:r>
            <w:r>
              <w:rPr>
                <w:rFonts w:hint="eastAsia" w:ascii="宋体" w:hAnsi="宋体" w:cs="宋体"/>
                <w:sz w:val="18"/>
                <w:szCs w:val="18"/>
              </w:rPr>
              <w:t>未严格审查验收华侨回国定居办理、核发许可条件，导致公民人身健康</w:t>
            </w:r>
            <w:r>
              <w:rPr>
                <w:rFonts w:ascii="宋体" w:hAnsi="宋体" w:cs="宋体"/>
                <w:sz w:val="18"/>
                <w:szCs w:val="18"/>
              </w:rPr>
              <w:t>.</w:t>
            </w:r>
            <w:r>
              <w:rPr>
                <w:rFonts w:hint="eastAsia" w:ascii="宋体" w:hAnsi="宋体" w:cs="宋体"/>
                <w:sz w:val="18"/>
                <w:szCs w:val="18"/>
              </w:rPr>
              <w:t>生命财产安全存在重大安全隐患的；行政许可后续监管不到位，造成严重后果的；</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5.</w:t>
            </w:r>
            <w:r>
              <w:rPr>
                <w:rFonts w:hint="eastAsia" w:ascii="宋体" w:hAnsi="宋体" w:cs="宋体"/>
                <w:sz w:val="18"/>
                <w:szCs w:val="18"/>
              </w:rPr>
              <w:t>擅自增设、变更华侨回国定居办理、核发审批程序或审批条件的；</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6.</w:t>
            </w:r>
            <w:r>
              <w:rPr>
                <w:rFonts w:hint="eastAsia" w:ascii="宋体" w:hAnsi="宋体" w:cs="宋体"/>
                <w:sz w:val="18"/>
                <w:szCs w:val="18"/>
              </w:rPr>
              <w:t>在华侨回国定居办理、核发许可审批过程中违法收取费用的；</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7.</w:t>
            </w:r>
            <w:r>
              <w:rPr>
                <w:rFonts w:hint="eastAsia" w:ascii="宋体" w:hAnsi="宋体" w:cs="宋体"/>
                <w:sz w:val="18"/>
                <w:szCs w:val="18"/>
              </w:rPr>
              <w:t>发生贪腐行为的；</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8.</w:t>
            </w:r>
            <w:r>
              <w:rPr>
                <w:rFonts w:hint="eastAsia" w:ascii="宋体" w:hAnsi="宋体" w:cs="宋体"/>
                <w:sz w:val="18"/>
                <w:szCs w:val="18"/>
              </w:rPr>
              <w:t>其他违反法律法规政策规定的行为。</w:t>
            </w:r>
          </w:p>
        </w:tc>
        <w:tc>
          <w:tcPr>
            <w:tcW w:w="7513" w:type="dxa"/>
            <w:vAlign w:val="center"/>
          </w:tcPr>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w:t>
            </w:r>
            <w:r>
              <w:rPr>
                <w:rFonts w:ascii="宋体" w:hAnsi="宋体" w:cs="宋体"/>
                <w:sz w:val="18"/>
                <w:szCs w:val="18"/>
              </w:rPr>
              <w:t>(</w:t>
            </w:r>
            <w:r>
              <w:rPr>
                <w:rFonts w:hint="eastAsia" w:ascii="宋体" w:hAnsi="宋体" w:cs="宋体"/>
                <w:sz w:val="18"/>
                <w:szCs w:val="18"/>
              </w:rPr>
              <w:t>四）申请人提交的申请材料不齐全、不符合法定形式，不一次告知申请人必须补正的全部内容的；（五）未依法说明不受理行政许可申请或者不予行政许可的理由的；</w:t>
            </w:r>
            <w:r>
              <w:rPr>
                <w:rFonts w:ascii="宋体" w:hAnsi="宋体" w:cs="宋体"/>
                <w:sz w:val="18"/>
                <w:szCs w:val="18"/>
              </w:rPr>
              <w:t xml:space="preserve"> </w:t>
            </w:r>
            <w:r>
              <w:rPr>
                <w:rFonts w:hint="eastAsia" w:ascii="宋体" w:hAnsi="宋体" w:cs="宋体"/>
                <w:sz w:val="18"/>
                <w:szCs w:val="18"/>
              </w:rPr>
              <w:t>（六）依法应当举行听证而不举行听证的。</w:t>
            </w:r>
          </w:p>
          <w:p>
            <w:pPr>
              <w:adjustRightInd w:val="0"/>
              <w:snapToGrid w:val="0"/>
              <w:spacing w:line="240" w:lineRule="exact"/>
              <w:ind w:firstLine="360"/>
              <w:rPr>
                <w:rFonts w:ascii="宋体" w:hAnsi="宋体" w:cs="宋体"/>
                <w:sz w:val="18"/>
                <w:szCs w:val="18"/>
              </w:rPr>
            </w:pPr>
            <w:r>
              <w:rPr>
                <w:rFonts w:ascii="宋体" w:hAnsi="宋体" w:cs="宋体"/>
                <w:sz w:val="18"/>
                <w:szCs w:val="18"/>
              </w:rPr>
              <w:t>2.</w:t>
            </w:r>
            <w:r>
              <w:rPr>
                <w:rFonts w:hint="eastAsia" w:ascii="宋体" w:hAnsi="宋体" w:cs="宋体"/>
                <w:sz w:val="18"/>
                <w:szCs w:val="18"/>
              </w:rPr>
              <w:t>【法律】《中华人民共和国行政许可法》（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号公布）第三十七条</w:t>
            </w:r>
            <w:r>
              <w:rPr>
                <w:rFonts w:ascii="宋体" w:hAnsi="宋体" w:cs="宋体"/>
                <w:sz w:val="18"/>
                <w:szCs w:val="18"/>
              </w:rPr>
              <w:t xml:space="preserve"> </w:t>
            </w:r>
            <w:r>
              <w:rPr>
                <w:rFonts w:hint="eastAsia" w:ascii="宋体" w:hAnsi="宋体" w:cs="宋体"/>
                <w:sz w:val="18"/>
                <w:szCs w:val="18"/>
              </w:rPr>
              <w:t>行政机关对行政许可申请进行审查后，除当场作出行政许可决定的外，应当在法定期限内按照规定程序作出行政许可决定。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3.</w:t>
            </w:r>
            <w:r>
              <w:rPr>
                <w:rFonts w:hint="eastAsia" w:ascii="宋体" w:hAnsi="宋体" w:cs="宋体"/>
                <w:sz w:val="18"/>
                <w:szCs w:val="18"/>
              </w:rPr>
              <w:t>同</w:t>
            </w:r>
            <w:r>
              <w:rPr>
                <w:rFonts w:ascii="宋体" w:hAnsi="宋体" w:cs="宋体"/>
                <w:sz w:val="18"/>
                <w:szCs w:val="18"/>
              </w:rPr>
              <w:t>2</w:t>
            </w:r>
            <w:r>
              <w:rPr>
                <w:rFonts w:hint="eastAsia" w:ascii="宋体" w:hAnsi="宋体" w:cs="宋体"/>
                <w:sz w:val="18"/>
                <w:szCs w:val="18"/>
              </w:rPr>
              <w:t>。</w:t>
            </w:r>
          </w:p>
          <w:p>
            <w:pPr>
              <w:adjustRightInd w:val="0"/>
              <w:snapToGrid w:val="0"/>
              <w:spacing w:line="240" w:lineRule="exact"/>
              <w:ind w:firstLine="360"/>
              <w:rPr>
                <w:rFonts w:ascii="宋体" w:hAnsi="宋体" w:cs="宋体"/>
                <w:sz w:val="18"/>
                <w:szCs w:val="18"/>
              </w:rPr>
            </w:pPr>
            <w:r>
              <w:rPr>
                <w:rFonts w:ascii="宋体" w:hAnsi="宋体" w:cs="宋体"/>
                <w:sz w:val="18"/>
                <w:szCs w:val="18"/>
              </w:rPr>
              <w:t>4</w:t>
            </w:r>
            <w:r>
              <w:rPr>
                <w:rFonts w:hint="eastAsia" w:ascii="宋体" w:hAnsi="宋体" w:cs="宋体"/>
                <w:sz w:val="18"/>
                <w:szCs w:val="18"/>
              </w:rPr>
              <w:t>.【法律】《中华人民共和国行政许可法》（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六十九条有下列情形之一的，作出行政许可决定的行政机关或者其上级行政机关，根据利害关系人的请求或者依据职权，可以撤销行政许可：（一）行政机关工作人员滥用职权、玩忽职守作出准予行政许可决定的；（二）超越法定职权作出准予行政许可决定的；（三）违反法定程序作出准予行政许可决定的；（四）对不具备申请资格或者不符合法定条件的申请人准予行政许可的；（五）依法可以撤销行政许可的其他情形。</w:t>
            </w:r>
          </w:p>
          <w:p>
            <w:pPr>
              <w:adjustRightInd w:val="0"/>
              <w:snapToGrid w:val="0"/>
              <w:spacing w:line="240" w:lineRule="exact"/>
              <w:ind w:firstLine="360"/>
              <w:rPr>
                <w:rFonts w:ascii="宋体" w:hAnsi="宋体" w:cs="宋体"/>
                <w:sz w:val="18"/>
                <w:szCs w:val="18"/>
              </w:rPr>
            </w:pPr>
            <w:r>
              <w:rPr>
                <w:rFonts w:hint="eastAsia" w:ascii="宋体" w:hAnsi="宋体" w:cs="宋体"/>
                <w:sz w:val="18"/>
                <w:szCs w:val="18"/>
              </w:rPr>
              <w:t>被许可人以欺骗、贿赂等不正当手段取得行政许可的，应当予以撤销。</w:t>
            </w:r>
          </w:p>
          <w:p>
            <w:pPr>
              <w:adjustRightInd w:val="0"/>
              <w:snapToGrid w:val="0"/>
              <w:spacing w:line="240" w:lineRule="exact"/>
              <w:ind w:firstLine="360"/>
              <w:rPr>
                <w:rFonts w:ascii="宋体" w:hAnsi="宋体" w:cs="宋体"/>
                <w:sz w:val="18"/>
                <w:szCs w:val="18"/>
              </w:rPr>
            </w:pPr>
            <w:r>
              <w:rPr>
                <w:rFonts w:hint="eastAsia" w:ascii="宋体" w:hAnsi="宋体" w:cs="宋体"/>
                <w:sz w:val="18"/>
                <w:szCs w:val="18"/>
              </w:rPr>
              <w:t>依照前两款的规定撤销行政许可，可能对公共利益造成重大损害的，不予撤销。</w:t>
            </w:r>
          </w:p>
          <w:p>
            <w:pPr>
              <w:adjustRightInd w:val="0"/>
              <w:snapToGrid w:val="0"/>
              <w:spacing w:line="240" w:lineRule="exact"/>
              <w:ind w:firstLine="360"/>
              <w:rPr>
                <w:rFonts w:ascii="宋体" w:hAnsi="宋体" w:cs="宋体"/>
                <w:sz w:val="18"/>
                <w:szCs w:val="18"/>
              </w:rPr>
            </w:pPr>
            <w:r>
              <w:rPr>
                <w:rFonts w:hint="eastAsia" w:ascii="宋体" w:hAnsi="宋体" w:cs="宋体"/>
                <w:sz w:val="18"/>
                <w:szCs w:val="18"/>
              </w:rPr>
              <w:t>依照本条第一款的规定撤销行政许可，被许可人的合法权益受到损害的，行政机关应当依法给予赔偿。依照本条第二款的规定撤销行政许可的，被许可人基于行政许可取得的利益不受保护。第七十六条</w:t>
            </w:r>
            <w:r>
              <w:rPr>
                <w:rFonts w:ascii="宋体" w:hAnsi="宋体" w:cs="宋体"/>
                <w:sz w:val="18"/>
                <w:szCs w:val="18"/>
              </w:rPr>
              <w:t xml:space="preserve"> </w:t>
            </w:r>
            <w:r>
              <w:rPr>
                <w:rFonts w:hint="eastAsia" w:ascii="宋体" w:hAnsi="宋体" w:cs="宋体"/>
                <w:sz w:val="18"/>
                <w:szCs w:val="18"/>
              </w:rPr>
              <w:t>行政机关违法实施行政许可，给当事人的合法权益造成损害的，应当依照国家赔偿法的规定给予赔偿。第七十七条</w:t>
            </w:r>
            <w:r>
              <w:rPr>
                <w:rFonts w:ascii="宋体" w:hAnsi="宋体" w:cs="宋体"/>
                <w:sz w:val="18"/>
                <w:szCs w:val="18"/>
              </w:rPr>
              <w:t xml:space="preserve"> </w:t>
            </w:r>
            <w:r>
              <w:rPr>
                <w:rFonts w:hint="eastAsia" w:ascii="宋体" w:hAnsi="宋体" w:cs="宋体"/>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p>
            <w:pPr>
              <w:adjustRightInd w:val="0"/>
              <w:snapToGrid w:val="0"/>
              <w:spacing w:line="240" w:lineRule="exact"/>
              <w:ind w:firstLine="345"/>
              <w:rPr>
                <w:rFonts w:ascii="宋体" w:hAnsi="宋体" w:cs="宋体"/>
                <w:sz w:val="18"/>
                <w:szCs w:val="18"/>
              </w:rPr>
            </w:pPr>
            <w:r>
              <w:rPr>
                <w:rFonts w:ascii="宋体" w:hAnsi="宋体" w:cs="宋体"/>
                <w:sz w:val="18"/>
                <w:szCs w:val="18"/>
              </w:rPr>
              <w:t>5.</w:t>
            </w:r>
            <w:r>
              <w:rPr>
                <w:rFonts w:hint="eastAsia" w:ascii="宋体" w:hAnsi="宋体" w:cs="宋体"/>
                <w:sz w:val="18"/>
                <w:szCs w:val="18"/>
              </w:rPr>
              <w:t>【法律】《中华人民共和国行政许可法》（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号公布）第八条</w:t>
            </w:r>
            <w:r>
              <w:rPr>
                <w:rFonts w:ascii="宋体" w:hAnsi="宋体" w:cs="宋体"/>
                <w:sz w:val="18"/>
                <w:szCs w:val="18"/>
              </w:rPr>
              <w:t xml:space="preserve"> </w:t>
            </w:r>
            <w:r>
              <w:rPr>
                <w:rFonts w:hint="eastAsia" w:ascii="宋体" w:hAnsi="宋体" w:cs="宋体"/>
                <w:sz w:val="18"/>
                <w:szCs w:val="18"/>
              </w:rPr>
              <w:t>公民、法人或者其他组织依法取得的行政许可受法律保护，行政机关不得擅自改变已经生效的行政许可。</w:t>
            </w:r>
          </w:p>
          <w:p>
            <w:pPr>
              <w:adjustRightInd w:val="0"/>
              <w:snapToGrid w:val="0"/>
              <w:spacing w:line="240" w:lineRule="exact"/>
              <w:ind w:firstLine="345"/>
              <w:rPr>
                <w:rFonts w:ascii="宋体" w:hAnsi="宋体" w:cs="宋体"/>
                <w:sz w:val="18"/>
                <w:szCs w:val="18"/>
              </w:rPr>
            </w:pPr>
            <w:r>
              <w:rPr>
                <w:rFonts w:hint="eastAsia" w:ascii="宋体" w:hAnsi="宋体" w:cs="宋体"/>
                <w:sz w:val="18"/>
                <w:szCs w:val="18"/>
              </w:rPr>
              <w:t>行政许可所依据的法律、法规、规章修改或者废止，或者准予行政许可所依据的客观情况发生重大变化的，为了公共利益的需要，行政机关可以依法变更或者撤回已经生效的行政许可。由此给公民、法人或者其他组织造成财产损失的，行政机关应当依法给予补偿。</w:t>
            </w:r>
          </w:p>
          <w:p>
            <w:pPr>
              <w:adjustRightInd w:val="0"/>
              <w:snapToGrid w:val="0"/>
              <w:spacing w:line="240" w:lineRule="exact"/>
              <w:ind w:firstLine="345"/>
              <w:rPr>
                <w:rFonts w:ascii="宋体" w:hAnsi="宋体" w:cs="宋体"/>
                <w:sz w:val="18"/>
                <w:szCs w:val="18"/>
              </w:rPr>
            </w:pPr>
            <w:r>
              <w:rPr>
                <w:rFonts w:ascii="宋体" w:hAnsi="宋体" w:cs="宋体"/>
                <w:sz w:val="18"/>
                <w:szCs w:val="18"/>
              </w:rPr>
              <w:t>6-1.</w:t>
            </w:r>
            <w:r>
              <w:rPr>
                <w:rFonts w:hint="eastAsia" w:ascii="宋体" w:hAnsi="宋体" w:cs="宋体"/>
                <w:sz w:val="18"/>
                <w:szCs w:val="18"/>
              </w:rPr>
              <w:t>【法律】《中华人民共和国行政许可法》（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号公布）第五十八条</w:t>
            </w:r>
            <w:r>
              <w:rPr>
                <w:rFonts w:ascii="宋体" w:hAnsi="宋体" w:cs="宋体"/>
                <w:sz w:val="18"/>
                <w:szCs w:val="18"/>
              </w:rPr>
              <w:t xml:space="preserve"> </w:t>
            </w:r>
            <w:r>
              <w:rPr>
                <w:rFonts w:hint="eastAsia" w:ascii="宋体" w:hAnsi="宋体" w:cs="宋体"/>
                <w:sz w:val="18"/>
                <w:szCs w:val="18"/>
              </w:rPr>
              <w:t>行政机关实施行政许可和对行政许可事项进行监督检查，不得收取任何费用</w:t>
            </w:r>
            <w:r>
              <w:rPr>
                <w:rFonts w:ascii="宋体" w:hAnsi="宋体" w:cs="宋体"/>
                <w:sz w:val="18"/>
                <w:szCs w:val="18"/>
              </w:rPr>
              <w:t>.</w:t>
            </w:r>
            <w:r>
              <w:rPr>
                <w:rFonts w:hint="eastAsia" w:ascii="宋体" w:hAnsi="宋体" w:cs="宋体"/>
                <w:sz w:val="18"/>
                <w:szCs w:val="18"/>
              </w:rPr>
              <w:t>但是，法律、行政法规另有规定的，依照其规定。行政机关提供行政许可申请书格式文本，不得收费。行政机关实施行政许可所需经费应当列入本行政机关的预算，由本级财政予以保障，按照批准的预算予以核拨。第七十五条</w:t>
            </w:r>
            <w:r>
              <w:rPr>
                <w:rFonts w:ascii="宋体" w:hAnsi="宋体" w:cs="宋体"/>
                <w:sz w:val="18"/>
                <w:szCs w:val="18"/>
              </w:rPr>
              <w:t xml:space="preserve"> </w:t>
            </w:r>
            <w:r>
              <w:rPr>
                <w:rFonts w:hint="eastAsia" w:ascii="宋体" w:hAnsi="宋体" w:cs="宋体"/>
                <w:sz w:val="18"/>
                <w:szCs w:val="18"/>
              </w:rPr>
              <w:t>行政机关实施行政许可，擅自收费或者不按照法定项目和标准收费的，由其上级行政机关或者监察机关责令退还非法收取的费用；对直接负责的主管人员和其他直接责任人员依法给予行政处分。</w:t>
            </w:r>
          </w:p>
          <w:p>
            <w:pPr>
              <w:adjustRightInd w:val="0"/>
              <w:snapToGrid w:val="0"/>
              <w:spacing w:line="240" w:lineRule="exact"/>
              <w:ind w:firstLine="345"/>
              <w:rPr>
                <w:rFonts w:ascii="宋体" w:hAnsi="宋体" w:cs="宋体"/>
                <w:sz w:val="18"/>
                <w:szCs w:val="18"/>
              </w:rPr>
            </w:pPr>
            <w:r>
              <w:rPr>
                <w:rFonts w:hint="eastAsia" w:ascii="宋体" w:hAnsi="宋体" w:cs="宋体"/>
                <w:sz w:val="18"/>
                <w:szCs w:val="18"/>
              </w:rPr>
              <w:t>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7.</w:t>
            </w:r>
            <w:r>
              <w:rPr>
                <w:rFonts w:hint="eastAsia" w:ascii="宋体" w:hAnsi="宋体" w:cs="宋体"/>
                <w:sz w:val="18"/>
                <w:szCs w:val="18"/>
              </w:rPr>
              <w:t>【法规】《行政机关公务员处分条例》（国务院令第</w:t>
            </w:r>
            <w:r>
              <w:rPr>
                <w:rFonts w:ascii="宋体" w:hAnsi="宋体" w:cs="宋体"/>
                <w:sz w:val="18"/>
                <w:szCs w:val="18"/>
              </w:rPr>
              <w:t>495</w:t>
            </w:r>
            <w:r>
              <w:rPr>
                <w:rFonts w:hint="eastAsia" w:ascii="宋体" w:hAnsi="宋体" w:cs="宋体"/>
                <w:sz w:val="18"/>
                <w:szCs w:val="18"/>
              </w:rPr>
              <w:t>号）条二十三条</w:t>
            </w:r>
            <w:r>
              <w:rPr>
                <w:rFonts w:ascii="宋体" w:hAnsi="宋体" w:cs="宋体"/>
                <w:sz w:val="18"/>
                <w:szCs w:val="18"/>
              </w:rPr>
              <w:t xml:space="preserve"> </w:t>
            </w:r>
            <w:r>
              <w:rPr>
                <w:rFonts w:hint="eastAsia" w:ascii="宋体" w:hAnsi="宋体" w:cs="宋体"/>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09" w:type="dxa"/>
            <w:vAlign w:val="center"/>
          </w:tcPr>
          <w:p>
            <w:pPr>
              <w:adjustRightInd w:val="0"/>
              <w:snapToGrid w:val="0"/>
              <w:spacing w:line="240" w:lineRule="exact"/>
              <w:rPr>
                <w:rFonts w:ascii="宋体" w:hAnsi="宋体"/>
                <w:sz w:val="18"/>
                <w:szCs w:val="18"/>
              </w:rPr>
            </w:pPr>
          </w:p>
        </w:tc>
      </w:tr>
    </w:tbl>
    <w:p/>
    <w:tbl>
      <w:tblPr>
        <w:tblStyle w:val="4"/>
        <w:tblpPr w:leftFromText="180" w:rightFromText="180" w:horzAnchor="margin" w:tblpXSpec="center" w:tblpY="2075"/>
        <w:tblW w:w="215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02"/>
        <w:gridCol w:w="709"/>
        <w:gridCol w:w="709"/>
        <w:gridCol w:w="2693"/>
        <w:gridCol w:w="2410"/>
        <w:gridCol w:w="4819"/>
        <w:gridCol w:w="2694"/>
        <w:gridCol w:w="552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540" w:type="dxa"/>
            <w:vAlign w:val="center"/>
          </w:tcPr>
          <w:p>
            <w:pPr>
              <w:jc w:val="center"/>
            </w:pPr>
            <w:r>
              <w:rPr>
                <w:rFonts w:hint="eastAsia"/>
              </w:rPr>
              <w:t>序号</w:t>
            </w:r>
          </w:p>
        </w:tc>
        <w:tc>
          <w:tcPr>
            <w:tcW w:w="702" w:type="dxa"/>
            <w:vAlign w:val="center"/>
          </w:tcPr>
          <w:p>
            <w:pPr>
              <w:jc w:val="center"/>
            </w:pPr>
            <w:r>
              <w:rPr>
                <w:rFonts w:hint="eastAsia"/>
              </w:rPr>
              <w:t>权力分类</w:t>
            </w:r>
          </w:p>
        </w:tc>
        <w:tc>
          <w:tcPr>
            <w:tcW w:w="709" w:type="dxa"/>
            <w:vAlign w:val="center"/>
          </w:tcPr>
          <w:p>
            <w:pPr>
              <w:jc w:val="center"/>
            </w:pPr>
            <w:r>
              <w:rPr>
                <w:rFonts w:hint="eastAsia"/>
              </w:rPr>
              <w:t>项目名称</w:t>
            </w:r>
          </w:p>
        </w:tc>
        <w:tc>
          <w:tcPr>
            <w:tcW w:w="709" w:type="dxa"/>
            <w:vAlign w:val="center"/>
          </w:tcPr>
          <w:p>
            <w:pPr>
              <w:jc w:val="center"/>
            </w:pPr>
            <w:r>
              <w:rPr>
                <w:rFonts w:hint="eastAsia"/>
              </w:rPr>
              <w:t>子项</w:t>
            </w:r>
          </w:p>
        </w:tc>
        <w:tc>
          <w:tcPr>
            <w:tcW w:w="2693" w:type="dxa"/>
            <w:vAlign w:val="center"/>
          </w:tcPr>
          <w:p>
            <w:pPr>
              <w:jc w:val="center"/>
            </w:pPr>
            <w:r>
              <w:rPr>
                <w:rFonts w:hint="eastAsia"/>
              </w:rPr>
              <w:t>实施依据</w:t>
            </w:r>
          </w:p>
        </w:tc>
        <w:tc>
          <w:tcPr>
            <w:tcW w:w="2410" w:type="dxa"/>
            <w:vAlign w:val="center"/>
          </w:tcPr>
          <w:p>
            <w:pPr>
              <w:jc w:val="center"/>
            </w:pPr>
            <w:r>
              <w:rPr>
                <w:rFonts w:hint="eastAsia"/>
              </w:rPr>
              <w:t>责任事项</w:t>
            </w:r>
          </w:p>
        </w:tc>
        <w:tc>
          <w:tcPr>
            <w:tcW w:w="4819" w:type="dxa"/>
            <w:vAlign w:val="center"/>
          </w:tcPr>
          <w:p>
            <w:pPr>
              <w:jc w:val="center"/>
            </w:pPr>
            <w:r>
              <w:rPr>
                <w:rFonts w:hint="eastAsia"/>
              </w:rPr>
              <w:t>责任事项依据</w:t>
            </w:r>
          </w:p>
        </w:tc>
        <w:tc>
          <w:tcPr>
            <w:tcW w:w="2694" w:type="dxa"/>
            <w:vAlign w:val="center"/>
          </w:tcPr>
          <w:p>
            <w:pPr>
              <w:jc w:val="center"/>
            </w:pPr>
            <w:r>
              <w:rPr>
                <w:rFonts w:hint="eastAsia"/>
              </w:rPr>
              <w:t>追责情形</w:t>
            </w:r>
          </w:p>
        </w:tc>
        <w:tc>
          <w:tcPr>
            <w:tcW w:w="5528" w:type="dxa"/>
            <w:vAlign w:val="center"/>
          </w:tcPr>
          <w:p>
            <w:pPr>
              <w:jc w:val="center"/>
            </w:pPr>
            <w:r>
              <w:rPr>
                <w:rFonts w:hint="eastAsia"/>
              </w:rPr>
              <w:t>追责依据</w:t>
            </w:r>
          </w:p>
        </w:tc>
        <w:tc>
          <w:tcPr>
            <w:tcW w:w="709" w:type="dxa"/>
            <w:vAlign w:val="center"/>
          </w:tcPr>
          <w:p>
            <w:pPr>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4" w:hRule="atLeast"/>
        </w:trPr>
        <w:tc>
          <w:tcPr>
            <w:tcW w:w="540" w:type="dxa"/>
            <w:vAlign w:val="center"/>
          </w:tcPr>
          <w:p>
            <w:pPr>
              <w:adjustRightInd w:val="0"/>
              <w:snapToGrid w:val="0"/>
              <w:spacing w:line="240" w:lineRule="exact"/>
              <w:rPr>
                <w:rFonts w:ascii="宋体" w:hAnsi="宋体"/>
                <w:sz w:val="18"/>
                <w:szCs w:val="18"/>
              </w:rPr>
            </w:pPr>
            <w:r>
              <w:rPr>
                <w:rFonts w:hint="eastAsia" w:ascii="宋体" w:hAnsi="宋体"/>
                <w:sz w:val="18"/>
                <w:szCs w:val="18"/>
              </w:rPr>
              <w:t>2</w:t>
            </w:r>
          </w:p>
        </w:tc>
        <w:tc>
          <w:tcPr>
            <w:tcW w:w="702" w:type="dxa"/>
            <w:vAlign w:val="center"/>
          </w:tcPr>
          <w:p>
            <w:pPr>
              <w:adjustRightInd w:val="0"/>
              <w:snapToGrid w:val="0"/>
              <w:spacing w:line="240" w:lineRule="exact"/>
              <w:rPr>
                <w:rFonts w:ascii="宋体" w:hAnsi="宋体"/>
                <w:sz w:val="18"/>
                <w:szCs w:val="18"/>
              </w:rPr>
            </w:pPr>
            <w:r>
              <w:rPr>
                <w:rFonts w:hint="eastAsia" w:ascii="宋体" w:hAnsi="宋体"/>
                <w:sz w:val="18"/>
                <w:szCs w:val="18"/>
              </w:rPr>
              <w:t>行政确认</w:t>
            </w:r>
          </w:p>
        </w:tc>
        <w:tc>
          <w:tcPr>
            <w:tcW w:w="709" w:type="dxa"/>
            <w:vAlign w:val="center"/>
          </w:tcPr>
          <w:p>
            <w:pPr>
              <w:adjustRightInd w:val="0"/>
              <w:snapToGrid w:val="0"/>
              <w:spacing w:line="240" w:lineRule="exact"/>
              <w:rPr>
                <w:rFonts w:ascii="宋体" w:hAnsi="宋体"/>
                <w:sz w:val="18"/>
                <w:szCs w:val="18"/>
              </w:rPr>
            </w:pPr>
            <w:r>
              <w:rPr>
                <w:rFonts w:hint="eastAsia" w:ascii="宋体" w:hAnsi="宋体"/>
                <w:sz w:val="18"/>
                <w:szCs w:val="18"/>
              </w:rPr>
              <w:t>归侨、侨眷身份确认</w:t>
            </w:r>
          </w:p>
        </w:tc>
        <w:tc>
          <w:tcPr>
            <w:tcW w:w="709" w:type="dxa"/>
            <w:vAlign w:val="center"/>
          </w:tcPr>
          <w:p>
            <w:pPr>
              <w:adjustRightInd w:val="0"/>
              <w:snapToGrid w:val="0"/>
              <w:spacing w:line="240" w:lineRule="exact"/>
              <w:rPr>
                <w:szCs w:val="21"/>
              </w:rPr>
            </w:pPr>
          </w:p>
        </w:tc>
        <w:tc>
          <w:tcPr>
            <w:tcW w:w="2693" w:type="dxa"/>
            <w:vAlign w:val="center"/>
          </w:tcPr>
          <w:p>
            <w:pPr>
              <w:adjustRightInd w:val="0"/>
              <w:snapToGrid w:val="0"/>
              <w:spacing w:line="240" w:lineRule="exact"/>
              <w:ind w:firstLine="270" w:firstLineChars="150"/>
              <w:rPr>
                <w:rFonts w:ascii="宋体" w:cs="宋体"/>
                <w:sz w:val="18"/>
                <w:szCs w:val="18"/>
              </w:rPr>
            </w:pPr>
            <w:r>
              <w:rPr>
                <w:rFonts w:hint="eastAsia" w:ascii="宋体" w:hAnsi="宋体" w:cs="宋体"/>
                <w:sz w:val="18"/>
                <w:szCs w:val="18"/>
              </w:rPr>
              <w:t>【法规】《中华人民共和国归侨侨眷权益保护法实施办法》（国务院令第</w:t>
            </w:r>
            <w:r>
              <w:rPr>
                <w:rFonts w:ascii="宋体" w:hAnsi="宋体" w:cs="宋体"/>
                <w:sz w:val="18"/>
                <w:szCs w:val="18"/>
              </w:rPr>
              <w:t>410</w:t>
            </w:r>
            <w:r>
              <w:rPr>
                <w:rFonts w:hint="eastAsia" w:ascii="宋体" w:hAnsi="宋体" w:cs="宋体"/>
                <w:sz w:val="18"/>
                <w:szCs w:val="18"/>
              </w:rPr>
              <w:t>号）第二条</w:t>
            </w:r>
            <w:r>
              <w:rPr>
                <w:rFonts w:ascii="宋体" w:hAnsi="宋体" w:cs="宋体"/>
                <w:sz w:val="18"/>
                <w:szCs w:val="18"/>
              </w:rPr>
              <w:t xml:space="preserve"> </w:t>
            </w:r>
            <w:r>
              <w:rPr>
                <w:rFonts w:hint="eastAsia" w:ascii="宋体" w:hAnsi="宋体" w:cs="宋体"/>
                <w:sz w:val="18"/>
                <w:szCs w:val="18"/>
              </w:rPr>
              <w:t>归侨、侨眷的身份，由其常住户口所在地的县级以上地方人民政府负责侨务工作的机构根据本人申请审核认定。与华侨、归侨有长期扶养关系的亲属申请认定侨眷身份的，应当提供由公证机构出具的扶养证明。</w:t>
            </w:r>
          </w:p>
          <w:p>
            <w:pPr>
              <w:adjustRightInd w:val="0"/>
              <w:snapToGrid w:val="0"/>
              <w:spacing w:line="240" w:lineRule="exact"/>
              <w:ind w:firstLine="360" w:firstLineChars="200"/>
              <w:rPr>
                <w:rFonts w:ascii="宋体" w:cs="宋体"/>
                <w:sz w:val="18"/>
                <w:szCs w:val="18"/>
              </w:rPr>
            </w:pPr>
            <w:r>
              <w:rPr>
                <w:rFonts w:hint="eastAsia" w:ascii="宋体" w:hAnsi="宋体" w:cs="宋体"/>
                <w:sz w:val="18"/>
                <w:szCs w:val="18"/>
              </w:rPr>
              <w:t>第三条</w:t>
            </w:r>
            <w:r>
              <w:rPr>
                <w:rFonts w:ascii="宋体" w:hAnsi="宋体" w:cs="宋体"/>
                <w:sz w:val="18"/>
                <w:szCs w:val="18"/>
              </w:rPr>
              <w:t xml:space="preserve"> </w:t>
            </w:r>
            <w:r>
              <w:rPr>
                <w:rFonts w:hint="eastAsia" w:ascii="宋体" w:hAnsi="宋体" w:cs="宋体"/>
                <w:sz w:val="18"/>
                <w:szCs w:val="18"/>
              </w:rPr>
              <w:t>华侨、归侨去世后或者华侨身份改变后，其国内眷属原依法认定的侨眷身份不变。</w:t>
            </w:r>
          </w:p>
          <w:p>
            <w:pPr>
              <w:adjustRightInd w:val="0"/>
              <w:snapToGrid w:val="0"/>
              <w:spacing w:line="240" w:lineRule="exact"/>
              <w:ind w:firstLine="360" w:firstLineChars="200"/>
              <w:rPr>
                <w:rFonts w:ascii="宋体" w:cs="宋体"/>
                <w:sz w:val="18"/>
                <w:szCs w:val="18"/>
              </w:rPr>
            </w:pPr>
            <w:r>
              <w:rPr>
                <w:rFonts w:hint="eastAsia" w:ascii="宋体" w:hAnsi="宋体" w:cs="宋体"/>
                <w:sz w:val="18"/>
                <w:szCs w:val="18"/>
              </w:rPr>
              <w:t>依法与华侨、归侨及其子女解除婚姻关系，或者与华侨、归侨解除扶养关系的，其原依法认定的侨眷身份丧失。</w:t>
            </w:r>
          </w:p>
        </w:tc>
        <w:tc>
          <w:tcPr>
            <w:tcW w:w="2410" w:type="dxa"/>
            <w:vAlign w:val="center"/>
          </w:tcPr>
          <w:p>
            <w:pPr>
              <w:adjustRightInd w:val="0"/>
              <w:snapToGrid w:val="0"/>
              <w:spacing w:line="240" w:lineRule="exact"/>
              <w:ind w:firstLine="360" w:firstLineChars="200"/>
              <w:rPr>
                <w:rFonts w:ascii="宋体" w:cs="宋体"/>
                <w:sz w:val="18"/>
                <w:szCs w:val="18"/>
              </w:rPr>
            </w:pPr>
            <w:r>
              <w:rPr>
                <w:rFonts w:ascii="宋体" w:hAnsi="宋体" w:cs="宋体"/>
                <w:sz w:val="18"/>
                <w:szCs w:val="18"/>
              </w:rPr>
              <w:t>1.</w:t>
            </w:r>
            <w:r>
              <w:rPr>
                <w:rFonts w:hint="eastAsia" w:ascii="宋体" w:hAnsi="宋体" w:cs="宋体"/>
                <w:sz w:val="18"/>
                <w:szCs w:val="18"/>
              </w:rPr>
              <w:t>受理责任：对归侨侨眷身份进行审查，依法能够受理的进行受理，不能受理的，对申请人说明理由。</w:t>
            </w:r>
          </w:p>
          <w:p>
            <w:pPr>
              <w:adjustRightInd w:val="0"/>
              <w:snapToGrid w:val="0"/>
              <w:spacing w:line="240" w:lineRule="exact"/>
              <w:ind w:firstLine="360" w:firstLineChars="200"/>
              <w:rPr>
                <w:rFonts w:ascii="宋体" w:cs="宋体"/>
                <w:sz w:val="18"/>
                <w:szCs w:val="18"/>
              </w:rPr>
            </w:pPr>
            <w:r>
              <w:rPr>
                <w:rFonts w:ascii="宋体" w:hAnsi="宋体" w:cs="宋体"/>
                <w:sz w:val="18"/>
                <w:szCs w:val="18"/>
              </w:rPr>
              <w:t>2.</w:t>
            </w:r>
            <w:r>
              <w:rPr>
                <w:rFonts w:hint="eastAsia" w:ascii="宋体" w:hAnsi="宋体" w:cs="宋体"/>
                <w:sz w:val="18"/>
                <w:szCs w:val="18"/>
              </w:rPr>
              <w:t>审查责任：按程序进行检验鉴定，并出具鉴定报告书。</w:t>
            </w:r>
          </w:p>
          <w:p>
            <w:pPr>
              <w:adjustRightInd w:val="0"/>
              <w:snapToGrid w:val="0"/>
              <w:spacing w:line="240" w:lineRule="exact"/>
              <w:ind w:firstLine="270" w:firstLineChars="150"/>
              <w:rPr>
                <w:rFonts w:ascii="宋体" w:cs="宋体"/>
                <w:sz w:val="18"/>
                <w:szCs w:val="18"/>
              </w:rPr>
            </w:pPr>
            <w:r>
              <w:rPr>
                <w:rFonts w:ascii="宋体" w:hAnsi="宋体" w:cs="宋体"/>
                <w:sz w:val="18"/>
                <w:szCs w:val="18"/>
              </w:rPr>
              <w:t>3.</w:t>
            </w:r>
            <w:r>
              <w:rPr>
                <w:rFonts w:hint="eastAsia" w:ascii="宋体" w:hAnsi="宋体" w:cs="宋体"/>
                <w:sz w:val="18"/>
                <w:szCs w:val="18"/>
              </w:rPr>
              <w:t>执行责任：经单位负责人审查后，将鉴定结果书面告知申请人。</w:t>
            </w:r>
          </w:p>
          <w:p>
            <w:pPr>
              <w:adjustRightInd w:val="0"/>
              <w:snapToGrid w:val="0"/>
              <w:spacing w:line="240" w:lineRule="exact"/>
              <w:ind w:firstLine="360" w:firstLineChars="200"/>
              <w:rPr>
                <w:rFonts w:ascii="宋体" w:cs="宋体"/>
                <w:sz w:val="18"/>
                <w:szCs w:val="18"/>
              </w:rPr>
            </w:pPr>
            <w:r>
              <w:rPr>
                <w:rFonts w:ascii="宋体" w:hAnsi="宋体" w:cs="宋体"/>
                <w:sz w:val="18"/>
                <w:szCs w:val="18"/>
              </w:rPr>
              <w:t>4.</w:t>
            </w:r>
            <w:r>
              <w:rPr>
                <w:rFonts w:hint="eastAsia" w:ascii="宋体" w:hAnsi="宋体" w:cs="宋体"/>
                <w:sz w:val="18"/>
                <w:szCs w:val="18"/>
              </w:rPr>
              <w:t>事后监管责任：加强事中事后的监管。</w:t>
            </w:r>
          </w:p>
          <w:p>
            <w:pPr>
              <w:adjustRightInd w:val="0"/>
              <w:snapToGrid w:val="0"/>
              <w:spacing w:line="240" w:lineRule="exact"/>
              <w:ind w:firstLine="360" w:firstLineChars="200"/>
              <w:rPr>
                <w:szCs w:val="21"/>
              </w:rPr>
            </w:pPr>
            <w:r>
              <w:rPr>
                <w:rFonts w:ascii="宋体" w:hAnsi="宋体" w:cs="宋体"/>
                <w:sz w:val="18"/>
                <w:szCs w:val="18"/>
              </w:rPr>
              <w:t>5</w:t>
            </w:r>
            <w:r>
              <w:rPr>
                <w:rFonts w:ascii="宋体" w:cs="宋体"/>
                <w:sz w:val="18"/>
                <w:szCs w:val="18"/>
              </w:rPr>
              <w:t>.</w:t>
            </w:r>
            <w:r>
              <w:rPr>
                <w:rFonts w:hint="eastAsia" w:ascii="宋体" w:hAnsi="宋体" w:cs="宋体"/>
                <w:sz w:val="18"/>
                <w:szCs w:val="18"/>
              </w:rPr>
              <w:t>其他法律法规规定的其他责任。</w:t>
            </w:r>
          </w:p>
        </w:tc>
        <w:tc>
          <w:tcPr>
            <w:tcW w:w="4819" w:type="dxa"/>
            <w:vAlign w:val="center"/>
          </w:tcPr>
          <w:p>
            <w:pPr>
              <w:adjustRightInd w:val="0"/>
              <w:snapToGrid w:val="0"/>
              <w:spacing w:line="240" w:lineRule="exact"/>
              <w:ind w:firstLine="360" w:firstLineChars="200"/>
              <w:rPr>
                <w:rFonts w:ascii="宋体" w:cs="宋体"/>
                <w:sz w:val="18"/>
                <w:szCs w:val="18"/>
              </w:rPr>
            </w:pPr>
            <w:r>
              <w:rPr>
                <w:rFonts w:ascii="宋体" w:hAnsi="宋体" w:cs="宋体"/>
                <w:sz w:val="18"/>
                <w:szCs w:val="18"/>
              </w:rPr>
              <w:t>1.</w:t>
            </w:r>
            <w:r>
              <w:rPr>
                <w:rFonts w:hint="eastAsia" w:ascii="宋体" w:hAnsi="宋体" w:cs="宋体"/>
                <w:sz w:val="18"/>
                <w:szCs w:val="18"/>
              </w:rPr>
              <w:t>【法规】《中华人民共和国归侨侨眷权益保护法实施办法》（国务院令第</w:t>
            </w:r>
            <w:r>
              <w:rPr>
                <w:rFonts w:ascii="宋体" w:hAnsi="宋体" w:cs="宋体"/>
                <w:sz w:val="18"/>
                <w:szCs w:val="18"/>
              </w:rPr>
              <w:t>410</w:t>
            </w:r>
            <w:r>
              <w:rPr>
                <w:rFonts w:hint="eastAsia" w:ascii="宋体" w:hAnsi="宋体" w:cs="宋体"/>
                <w:sz w:val="18"/>
                <w:szCs w:val="18"/>
              </w:rPr>
              <w:t>号）第二条</w:t>
            </w:r>
            <w:r>
              <w:rPr>
                <w:rFonts w:ascii="宋体" w:hAnsi="宋体" w:cs="宋体"/>
                <w:sz w:val="18"/>
                <w:szCs w:val="18"/>
              </w:rPr>
              <w:t xml:space="preserve"> </w:t>
            </w:r>
            <w:r>
              <w:rPr>
                <w:rFonts w:hint="eastAsia" w:ascii="宋体" w:hAnsi="宋体" w:cs="宋体"/>
                <w:sz w:val="18"/>
                <w:szCs w:val="18"/>
              </w:rPr>
              <w:t>归侨、侨眷的身份，由其常住户口所在地的县级以上地方人民政府负责侨务工作的机构根据本人申请审核认定。与华侨、归侨有长期扶养关系的亲属申请认定侨眷身份的，应当提供由公证机构出具的扶养证明。</w:t>
            </w:r>
          </w:p>
          <w:p>
            <w:pPr>
              <w:adjustRightInd w:val="0"/>
              <w:snapToGrid w:val="0"/>
              <w:spacing w:line="240" w:lineRule="exact"/>
              <w:ind w:firstLine="360" w:firstLineChars="200"/>
              <w:rPr>
                <w:rFonts w:ascii="宋体" w:cs="宋体"/>
                <w:sz w:val="18"/>
                <w:szCs w:val="18"/>
              </w:rPr>
            </w:pPr>
            <w:r>
              <w:rPr>
                <w:rFonts w:hint="eastAsia" w:ascii="宋体" w:hAnsi="宋体" w:cs="宋体"/>
                <w:sz w:val="18"/>
                <w:szCs w:val="18"/>
              </w:rPr>
              <w:t>第三条</w:t>
            </w:r>
            <w:r>
              <w:rPr>
                <w:rFonts w:ascii="宋体" w:hAnsi="宋体" w:cs="宋体"/>
                <w:sz w:val="18"/>
                <w:szCs w:val="18"/>
              </w:rPr>
              <w:t xml:space="preserve"> </w:t>
            </w:r>
            <w:r>
              <w:rPr>
                <w:rFonts w:hint="eastAsia" w:ascii="宋体" w:hAnsi="宋体" w:cs="宋体"/>
                <w:sz w:val="18"/>
                <w:szCs w:val="18"/>
              </w:rPr>
              <w:t>华侨、归侨去世后或者华侨身份改变后，其国内眷属原依法认定的侨眷身份不变。</w:t>
            </w:r>
          </w:p>
          <w:p>
            <w:pPr>
              <w:adjustRightInd w:val="0"/>
              <w:snapToGrid w:val="0"/>
              <w:spacing w:line="240" w:lineRule="exact"/>
              <w:ind w:firstLine="270" w:firstLineChars="150"/>
              <w:rPr>
                <w:rFonts w:ascii="宋体" w:cs="宋体"/>
                <w:sz w:val="18"/>
                <w:szCs w:val="18"/>
              </w:rPr>
            </w:pPr>
            <w:r>
              <w:rPr>
                <w:rFonts w:hint="eastAsia" w:ascii="宋体" w:hAnsi="宋体" w:cs="宋体"/>
                <w:sz w:val="18"/>
                <w:szCs w:val="18"/>
              </w:rPr>
              <w:t>依法与华侨、归侨及其子女解除婚姻关系，或者与华侨、归侨解除扶养关系的，其原依法认定的侨眷身份丧失。</w:t>
            </w:r>
          </w:p>
          <w:p>
            <w:pPr>
              <w:adjustRightInd w:val="0"/>
              <w:snapToGrid w:val="0"/>
              <w:spacing w:line="240" w:lineRule="exact"/>
              <w:ind w:firstLine="360" w:firstLineChars="200"/>
              <w:rPr>
                <w:rFonts w:ascii="宋体" w:cs="宋体"/>
                <w:sz w:val="18"/>
                <w:szCs w:val="18"/>
              </w:rPr>
            </w:pPr>
            <w:r>
              <w:rPr>
                <w:rFonts w:ascii="宋体" w:hAnsi="宋体" w:cs="宋体"/>
                <w:sz w:val="18"/>
                <w:szCs w:val="18"/>
              </w:rPr>
              <w:t>2.</w:t>
            </w:r>
            <w:r>
              <w:rPr>
                <w:rFonts w:hint="eastAsia" w:ascii="宋体" w:hAnsi="宋体" w:cs="宋体"/>
                <w:sz w:val="18"/>
                <w:szCs w:val="18"/>
              </w:rPr>
              <w:t>同</w:t>
            </w:r>
            <w:r>
              <w:rPr>
                <w:rFonts w:ascii="宋体" w:hAnsi="宋体" w:cs="宋体"/>
                <w:sz w:val="18"/>
                <w:szCs w:val="18"/>
              </w:rPr>
              <w:t>1</w:t>
            </w:r>
            <w:r>
              <w:rPr>
                <w:rFonts w:hint="eastAsia" w:ascii="宋体" w:hAnsi="宋体" w:cs="宋体"/>
                <w:sz w:val="18"/>
                <w:szCs w:val="18"/>
              </w:rPr>
              <w:t>。</w:t>
            </w:r>
          </w:p>
          <w:p>
            <w:pPr>
              <w:adjustRightInd w:val="0"/>
              <w:snapToGrid w:val="0"/>
              <w:spacing w:line="240" w:lineRule="exact"/>
              <w:ind w:firstLine="360" w:firstLineChars="200"/>
              <w:rPr>
                <w:rFonts w:ascii="宋体" w:cs="宋体"/>
                <w:sz w:val="18"/>
                <w:szCs w:val="18"/>
              </w:rPr>
            </w:pPr>
            <w:r>
              <w:rPr>
                <w:rFonts w:ascii="宋体" w:hAnsi="宋体" w:cs="宋体"/>
                <w:sz w:val="18"/>
                <w:szCs w:val="18"/>
              </w:rPr>
              <w:t>3.</w:t>
            </w:r>
            <w:r>
              <w:rPr>
                <w:rFonts w:hint="eastAsia" w:ascii="宋体" w:hAnsi="宋体" w:cs="宋体"/>
                <w:sz w:val="18"/>
                <w:szCs w:val="18"/>
              </w:rPr>
              <w:t>同</w:t>
            </w:r>
            <w:r>
              <w:rPr>
                <w:rFonts w:ascii="宋体" w:hAnsi="宋体" w:cs="宋体"/>
                <w:sz w:val="18"/>
                <w:szCs w:val="18"/>
              </w:rPr>
              <w:t>1</w:t>
            </w:r>
            <w:r>
              <w:rPr>
                <w:rFonts w:hint="eastAsia" w:ascii="宋体" w:hAnsi="宋体" w:cs="宋体"/>
                <w:sz w:val="18"/>
                <w:szCs w:val="18"/>
              </w:rPr>
              <w:t>。</w:t>
            </w:r>
          </w:p>
          <w:p>
            <w:pPr>
              <w:adjustRightInd w:val="0"/>
              <w:snapToGrid w:val="0"/>
              <w:spacing w:line="240" w:lineRule="exact"/>
              <w:ind w:firstLine="360" w:firstLineChars="200"/>
              <w:rPr>
                <w:rFonts w:ascii="宋体" w:hAnsi="宋体" w:cs="宋体"/>
                <w:sz w:val="18"/>
                <w:szCs w:val="18"/>
              </w:rPr>
            </w:pPr>
            <w:r>
              <w:rPr>
                <w:rFonts w:ascii="宋体" w:hAnsi="宋体" w:cs="宋体"/>
                <w:sz w:val="18"/>
                <w:szCs w:val="18"/>
              </w:rPr>
              <w:t>4</w:t>
            </w:r>
            <w:r>
              <w:rPr>
                <w:rFonts w:hint="eastAsia" w:ascii="宋体" w:hAnsi="宋体" w:cs="宋体"/>
                <w:sz w:val="18"/>
                <w:szCs w:val="18"/>
              </w:rPr>
              <w:t>-1</w:t>
            </w:r>
            <w:r>
              <w:rPr>
                <w:rFonts w:ascii="宋体" w:hAnsi="宋体" w:cs="宋体"/>
                <w:sz w:val="18"/>
                <w:szCs w:val="18"/>
              </w:rPr>
              <w:t>.</w:t>
            </w:r>
            <w:r>
              <w:rPr>
                <w:rFonts w:hint="eastAsia" w:ascii="宋体" w:hAnsi="宋体" w:cs="宋体"/>
                <w:sz w:val="18"/>
                <w:szCs w:val="18"/>
              </w:rPr>
              <w:t>【法律】《中华人民共和国行政许可法》（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号公布）第六十条　上级行政机关应当加强对下级行政机关实施行政许可的监督检查，及时纠正行政许可实施中的违法行为。</w:t>
            </w:r>
          </w:p>
          <w:p>
            <w:pPr>
              <w:adjustRightInd w:val="0"/>
              <w:snapToGrid w:val="0"/>
              <w:spacing w:line="240" w:lineRule="exact"/>
              <w:ind w:firstLine="360" w:firstLineChars="200"/>
              <w:rPr>
                <w:rFonts w:ascii="宋体" w:hAnsi="宋体" w:cs="宋体"/>
                <w:sz w:val="18"/>
                <w:szCs w:val="18"/>
              </w:rPr>
            </w:pPr>
            <w:r>
              <w:rPr>
                <w:rFonts w:hint="eastAsia" w:ascii="宋体" w:hAnsi="宋体" w:cs="宋体"/>
                <w:sz w:val="18"/>
                <w:szCs w:val="18"/>
              </w:rPr>
              <w:t>4-2.【法律】《中华人民共和国行政许可法》（</w:t>
            </w:r>
            <w:r>
              <w:rPr>
                <w:rFonts w:ascii="宋体" w:hAnsi="宋体" w:cs="宋体"/>
                <w:sz w:val="18"/>
                <w:szCs w:val="18"/>
              </w:rPr>
              <w:t>2003</w:t>
            </w:r>
            <w:r>
              <w:rPr>
                <w:rFonts w:hint="eastAsia" w:ascii="宋体" w:hAnsi="宋体" w:cs="宋体"/>
                <w:sz w:val="18"/>
                <w:szCs w:val="18"/>
              </w:rPr>
              <w:t>年主席令第</w:t>
            </w:r>
            <w:r>
              <w:rPr>
                <w:rFonts w:ascii="宋体" w:hAnsi="宋体" w:cs="宋体"/>
                <w:sz w:val="18"/>
                <w:szCs w:val="18"/>
              </w:rPr>
              <w:t>7</w:t>
            </w:r>
            <w:r>
              <w:rPr>
                <w:rFonts w:hint="eastAsia" w:ascii="宋体" w:hAnsi="宋体" w:cs="宋体"/>
                <w:sz w:val="18"/>
                <w:szCs w:val="18"/>
              </w:rPr>
              <w:t>号公布）第六十一条　行政机关应当建立健全监督制度，通过核查反映被许可人从事行政许可事项活动情况的有关材料，履行监督责任。</w:t>
            </w:r>
          </w:p>
          <w:p>
            <w:pPr>
              <w:adjustRightInd w:val="0"/>
              <w:snapToGrid w:val="0"/>
              <w:spacing w:line="240" w:lineRule="exact"/>
              <w:ind w:firstLine="360" w:firstLineChars="200"/>
              <w:rPr>
                <w:rFonts w:ascii="宋体" w:hAnsi="宋体" w:cs="宋体"/>
                <w:sz w:val="18"/>
                <w:szCs w:val="18"/>
              </w:rPr>
            </w:pPr>
            <w:r>
              <w:rPr>
                <w:rFonts w:hint="eastAsia" w:ascii="宋体" w:hAnsi="宋体" w:cs="宋体"/>
                <w:sz w:val="18"/>
                <w:szCs w:val="18"/>
              </w:rPr>
              <w:t>行政机关依法对被许可人从事行政许可事项的活动进行监督检查时，应当将监督检查的情况和处理结果予以记录，由监督检查人员签字后归档。公众有权查阅行政机关监督检查记录。</w:t>
            </w:r>
          </w:p>
          <w:p>
            <w:pPr>
              <w:adjustRightInd w:val="0"/>
              <w:snapToGrid w:val="0"/>
              <w:spacing w:line="240" w:lineRule="exact"/>
              <w:ind w:firstLine="360" w:firstLineChars="200"/>
              <w:rPr>
                <w:rFonts w:ascii="宋体" w:cs="宋体"/>
                <w:sz w:val="18"/>
                <w:szCs w:val="18"/>
              </w:rPr>
            </w:pPr>
            <w:r>
              <w:rPr>
                <w:rFonts w:hint="eastAsia" w:ascii="宋体" w:hAnsi="宋体" w:cs="宋体"/>
                <w:sz w:val="18"/>
                <w:szCs w:val="18"/>
              </w:rPr>
              <w:t>行政机关应当创造条件，实现与被许可人、其他有关行政机关的计算机档案系统互联，核查被许可人从事行政许可事项活动情况。</w:t>
            </w:r>
          </w:p>
        </w:tc>
        <w:tc>
          <w:tcPr>
            <w:tcW w:w="2694" w:type="dxa"/>
            <w:vAlign w:val="center"/>
          </w:tcPr>
          <w:p>
            <w:pPr>
              <w:adjustRightInd w:val="0"/>
              <w:snapToGrid w:val="0"/>
              <w:spacing w:line="240" w:lineRule="exact"/>
              <w:ind w:firstLine="270" w:firstLineChars="150"/>
              <w:rPr>
                <w:rFonts w:ascii="宋体" w:cs="宋体"/>
                <w:sz w:val="18"/>
                <w:szCs w:val="18"/>
              </w:rPr>
            </w:pPr>
            <w:r>
              <w:rPr>
                <w:rFonts w:hint="eastAsia" w:ascii="宋体" w:hAnsi="宋体" w:cs="宋体"/>
                <w:sz w:val="18"/>
                <w:szCs w:val="18"/>
              </w:rPr>
              <w:t>因履行或不正确履行行政职责，有下列情形的，行政机关及相关工作人员应承担相应责任：</w:t>
            </w:r>
          </w:p>
          <w:p>
            <w:pPr>
              <w:adjustRightInd w:val="0"/>
              <w:snapToGrid w:val="0"/>
              <w:spacing w:line="240" w:lineRule="exact"/>
              <w:ind w:firstLine="270" w:firstLineChars="150"/>
              <w:rPr>
                <w:rFonts w:ascii="宋体" w:cs="宋体"/>
                <w:sz w:val="18"/>
                <w:szCs w:val="18"/>
              </w:rPr>
            </w:pPr>
            <w:r>
              <w:rPr>
                <w:rFonts w:ascii="宋体" w:hAnsi="宋体" w:cs="宋体"/>
                <w:sz w:val="18"/>
                <w:szCs w:val="18"/>
              </w:rPr>
              <w:t>1.</w:t>
            </w:r>
            <w:r>
              <w:rPr>
                <w:rFonts w:hint="eastAsia" w:ascii="宋体" w:hAnsi="宋体" w:cs="宋体"/>
                <w:sz w:val="18"/>
                <w:szCs w:val="18"/>
              </w:rPr>
              <w:t>玩忽职守、</w:t>
            </w:r>
            <w:r>
              <w:rPr>
                <w:rFonts w:ascii="宋体" w:hAnsi="宋体" w:cs="宋体"/>
                <w:sz w:val="18"/>
                <w:szCs w:val="18"/>
              </w:rPr>
              <w:t>.</w:t>
            </w:r>
            <w:r>
              <w:rPr>
                <w:rFonts w:hint="eastAsia" w:ascii="宋体" w:hAnsi="宋体" w:cs="宋体"/>
                <w:sz w:val="18"/>
                <w:szCs w:val="18"/>
              </w:rPr>
              <w:t>滥用职权、贻误工作、侵害公民、法人或者其他组织合法权益的。</w:t>
            </w:r>
          </w:p>
          <w:p>
            <w:pPr>
              <w:adjustRightInd w:val="0"/>
              <w:snapToGrid w:val="0"/>
              <w:spacing w:line="240" w:lineRule="exact"/>
              <w:ind w:firstLine="270" w:firstLineChars="150"/>
              <w:rPr>
                <w:rFonts w:ascii="宋体" w:cs="宋体"/>
                <w:sz w:val="18"/>
                <w:szCs w:val="18"/>
              </w:rPr>
            </w:pPr>
            <w:r>
              <w:rPr>
                <w:rFonts w:ascii="宋体" w:hAnsi="宋体" w:cs="宋体"/>
                <w:sz w:val="18"/>
                <w:szCs w:val="18"/>
              </w:rPr>
              <w:t>2.</w:t>
            </w:r>
            <w:r>
              <w:rPr>
                <w:rFonts w:hint="eastAsia" w:ascii="宋体" w:hAnsi="宋体" w:cs="宋体"/>
                <w:sz w:val="18"/>
                <w:szCs w:val="18"/>
              </w:rPr>
              <w:t>违反廉政纪律行为的。</w:t>
            </w:r>
          </w:p>
          <w:p>
            <w:pPr>
              <w:adjustRightInd w:val="0"/>
              <w:snapToGrid w:val="0"/>
              <w:spacing w:line="240" w:lineRule="exact"/>
              <w:ind w:firstLine="270" w:firstLineChars="150"/>
              <w:rPr>
                <w:rFonts w:ascii="宋体" w:cs="宋体"/>
                <w:sz w:val="18"/>
                <w:szCs w:val="18"/>
              </w:rPr>
            </w:pPr>
            <w:r>
              <w:rPr>
                <w:rFonts w:hint="eastAsia" w:ascii="宋体" w:hAnsi="宋体" w:cs="宋体"/>
                <w:sz w:val="18"/>
                <w:szCs w:val="18"/>
              </w:rPr>
              <w:t>3</w:t>
            </w:r>
            <w:r>
              <w:rPr>
                <w:rFonts w:ascii="宋体" w:hAnsi="宋体" w:cs="宋体"/>
                <w:sz w:val="18"/>
                <w:szCs w:val="18"/>
              </w:rPr>
              <w:t>.</w:t>
            </w:r>
            <w:r>
              <w:rPr>
                <w:rFonts w:hint="eastAsia" w:ascii="宋体" w:hAnsi="宋体" w:cs="宋体"/>
                <w:sz w:val="18"/>
                <w:szCs w:val="18"/>
              </w:rPr>
              <w:t>泄露相关秘密、隐私的。</w:t>
            </w:r>
          </w:p>
          <w:p>
            <w:pPr>
              <w:adjustRightInd w:val="0"/>
              <w:snapToGrid w:val="0"/>
              <w:spacing w:line="240" w:lineRule="exact"/>
              <w:ind w:firstLine="270" w:firstLineChars="150"/>
              <w:rPr>
                <w:rFonts w:ascii="宋体" w:cs="宋体"/>
                <w:sz w:val="18"/>
                <w:szCs w:val="18"/>
              </w:rPr>
            </w:pPr>
            <w:r>
              <w:rPr>
                <w:rFonts w:hint="eastAsia" w:ascii="宋体" w:hAnsi="宋体" w:cs="宋体"/>
                <w:sz w:val="18"/>
                <w:szCs w:val="18"/>
              </w:rPr>
              <w:t>4</w:t>
            </w:r>
            <w:r>
              <w:rPr>
                <w:rFonts w:ascii="宋体" w:hAnsi="宋体" w:cs="宋体"/>
                <w:sz w:val="18"/>
                <w:szCs w:val="18"/>
              </w:rPr>
              <w:t>.</w:t>
            </w:r>
            <w:r>
              <w:rPr>
                <w:rFonts w:hint="eastAsia" w:ascii="宋体" w:hAnsi="宋体" w:cs="宋体"/>
                <w:sz w:val="18"/>
                <w:szCs w:val="18"/>
              </w:rPr>
              <w:t>违反公务员职业道德，工作作风懈怠、工作态度恶劣的。</w:t>
            </w:r>
          </w:p>
          <w:p>
            <w:pPr>
              <w:adjustRightInd w:val="0"/>
              <w:snapToGrid w:val="0"/>
              <w:spacing w:line="240" w:lineRule="exact"/>
              <w:ind w:firstLine="270" w:firstLineChars="150"/>
              <w:rPr>
                <w:rFonts w:ascii="宋体" w:cs="宋体"/>
                <w:sz w:val="18"/>
                <w:szCs w:val="18"/>
              </w:rPr>
            </w:pPr>
            <w:r>
              <w:rPr>
                <w:rFonts w:hint="eastAsia" w:ascii="宋体" w:hAnsi="宋体" w:cs="宋体"/>
                <w:sz w:val="18"/>
                <w:szCs w:val="18"/>
              </w:rPr>
              <w:t>5</w:t>
            </w:r>
            <w:r>
              <w:rPr>
                <w:rFonts w:ascii="宋体" w:hAnsi="宋体" w:cs="宋体"/>
                <w:sz w:val="18"/>
                <w:szCs w:val="18"/>
              </w:rPr>
              <w:t>.</w:t>
            </w:r>
            <w:r>
              <w:rPr>
                <w:rFonts w:hint="eastAsia" w:ascii="宋体" w:hAnsi="宋体" w:cs="宋体"/>
                <w:sz w:val="18"/>
                <w:szCs w:val="18"/>
              </w:rPr>
              <w:t>行政执法工作中推诿、拖延不办，或者无正当理由不配合、不协助其他机关行政执法工作的。</w:t>
            </w:r>
          </w:p>
        </w:tc>
        <w:tc>
          <w:tcPr>
            <w:tcW w:w="5528" w:type="dxa"/>
            <w:vAlign w:val="center"/>
          </w:tcPr>
          <w:p>
            <w:pPr>
              <w:adjustRightInd w:val="0"/>
              <w:snapToGrid w:val="0"/>
              <w:spacing w:line="240" w:lineRule="exact"/>
              <w:ind w:firstLine="360" w:firstLineChars="200"/>
              <w:rPr>
                <w:rFonts w:ascii="宋体" w:cs="宋体"/>
                <w:sz w:val="18"/>
                <w:szCs w:val="18"/>
              </w:rPr>
            </w:pPr>
            <w:r>
              <w:rPr>
                <w:rFonts w:ascii="宋体" w:hAnsi="宋体" w:cs="宋体"/>
                <w:sz w:val="18"/>
                <w:szCs w:val="18"/>
              </w:rPr>
              <w:t>1.</w:t>
            </w:r>
            <w:r>
              <w:rPr>
                <w:rFonts w:hint="eastAsia" w:ascii="宋体" w:hAnsi="宋体" w:cs="宋体"/>
                <w:sz w:val="18"/>
                <w:szCs w:val="18"/>
              </w:rPr>
              <w:t>【法规】《中华人民共和国归侨侨眷权益保护法实施办法》（国务院令第</w:t>
            </w:r>
            <w:r>
              <w:rPr>
                <w:rFonts w:ascii="宋体" w:hAnsi="宋体" w:cs="宋体"/>
                <w:sz w:val="18"/>
                <w:szCs w:val="18"/>
              </w:rPr>
              <w:t>410</w:t>
            </w:r>
            <w:r>
              <w:rPr>
                <w:rFonts w:hint="eastAsia" w:ascii="宋体" w:hAnsi="宋体" w:cs="宋体"/>
                <w:sz w:val="18"/>
                <w:szCs w:val="18"/>
              </w:rPr>
              <w:t>号）第二十九条 国家机关工作人员滥用职权、玩忽职守、徇私舞弊，致使归侨、侨眷合法权益受到损害的，对直接负责的主管人员和其他直接责任人员依法给予行政处分或者纪律处分;构成犯罪的，依法追究刑事责任。</w:t>
            </w:r>
          </w:p>
          <w:p>
            <w:pPr>
              <w:adjustRightInd w:val="0"/>
              <w:snapToGrid w:val="0"/>
              <w:spacing w:line="240" w:lineRule="exact"/>
              <w:ind w:firstLine="360" w:firstLineChars="200"/>
              <w:rPr>
                <w:rFonts w:ascii="宋体" w:cs="宋体"/>
                <w:sz w:val="18"/>
                <w:szCs w:val="18"/>
              </w:rPr>
            </w:pPr>
            <w:r>
              <w:rPr>
                <w:rFonts w:ascii="宋体" w:hAnsi="宋体" w:cs="宋体"/>
                <w:sz w:val="18"/>
                <w:szCs w:val="18"/>
              </w:rPr>
              <w:t>2.</w:t>
            </w:r>
            <w:r>
              <w:rPr>
                <w:rFonts w:hint="eastAsia" w:ascii="宋体" w:hAnsi="宋体" w:cs="宋体"/>
                <w:sz w:val="18"/>
                <w:szCs w:val="18"/>
              </w:rPr>
              <w:t>【法规】《行政机关公务员处分条例》（国务院令第</w:t>
            </w:r>
            <w:r>
              <w:rPr>
                <w:rFonts w:ascii="宋体" w:hAnsi="宋体" w:cs="宋体"/>
                <w:sz w:val="18"/>
                <w:szCs w:val="18"/>
              </w:rPr>
              <w:t>495</w:t>
            </w:r>
            <w:r>
              <w:rPr>
                <w:rFonts w:hint="eastAsia" w:ascii="宋体" w:hAnsi="宋体" w:cs="宋体"/>
                <w:sz w:val="18"/>
                <w:szCs w:val="18"/>
              </w:rPr>
              <w:t>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240" w:lineRule="exact"/>
              <w:ind w:firstLine="360" w:firstLineChars="200"/>
              <w:rPr>
                <w:rFonts w:ascii="宋体" w:cs="宋体"/>
                <w:sz w:val="18"/>
                <w:szCs w:val="18"/>
              </w:rPr>
            </w:pPr>
            <w:r>
              <w:rPr>
                <w:rFonts w:ascii="宋体" w:hAnsi="宋体" w:cs="宋体"/>
                <w:sz w:val="18"/>
                <w:szCs w:val="18"/>
              </w:rPr>
              <w:t>3.</w:t>
            </w:r>
            <w:r>
              <w:rPr>
                <w:rFonts w:hint="eastAsia" w:ascii="宋体" w:hAnsi="宋体" w:cs="宋体"/>
                <w:sz w:val="18"/>
                <w:szCs w:val="18"/>
              </w:rPr>
              <w:t>【法规】《行政机关公务员处分条例》（国务院令第</w:t>
            </w:r>
            <w:r>
              <w:rPr>
                <w:rFonts w:ascii="宋体" w:hAnsi="宋体" w:cs="宋体"/>
                <w:sz w:val="18"/>
                <w:szCs w:val="18"/>
              </w:rPr>
              <w:t>495</w:t>
            </w:r>
            <w:r>
              <w:rPr>
                <w:rFonts w:hint="eastAsia" w:ascii="宋体" w:hAnsi="宋体" w:cs="宋体"/>
                <w:sz w:val="18"/>
                <w:szCs w:val="18"/>
              </w:rPr>
              <w:t>号）第二十五条：“有下列行为之一的，给予记过或者记大过处分；情节较重的，给予降级或者撤职处分；情节严重的，给予开除处分：（五）其他滥用职权，侵害公民、法人或者其他组织合法权益的行为。”</w:t>
            </w:r>
          </w:p>
          <w:p>
            <w:pPr>
              <w:adjustRightInd w:val="0"/>
              <w:snapToGrid w:val="0"/>
              <w:spacing w:line="240" w:lineRule="exact"/>
              <w:ind w:firstLine="360" w:firstLineChars="200"/>
              <w:rPr>
                <w:rFonts w:ascii="宋体" w:cs="宋体"/>
                <w:sz w:val="18"/>
                <w:szCs w:val="18"/>
              </w:rPr>
            </w:pPr>
            <w:r>
              <w:rPr>
                <w:rFonts w:ascii="宋体" w:hAnsi="宋体" w:cs="宋体"/>
                <w:sz w:val="18"/>
                <w:szCs w:val="18"/>
              </w:rPr>
              <w:t>4.</w:t>
            </w:r>
            <w:r>
              <w:rPr>
                <w:rFonts w:hint="eastAsia" w:ascii="宋体" w:hAnsi="宋体" w:cs="宋体"/>
                <w:sz w:val="18"/>
                <w:szCs w:val="18"/>
              </w:rPr>
              <w:t>【法规】《行政机关公务员处分条例》（国务院令第</w:t>
            </w:r>
            <w:r>
              <w:rPr>
                <w:rFonts w:ascii="宋体" w:hAnsi="宋体" w:cs="宋体"/>
                <w:sz w:val="18"/>
                <w:szCs w:val="18"/>
              </w:rPr>
              <w:t>495</w:t>
            </w:r>
            <w:r>
              <w:rPr>
                <w:rFonts w:hint="eastAsia" w:ascii="宋体" w:hAnsi="宋体" w:cs="宋体"/>
                <w:sz w:val="18"/>
                <w:szCs w:val="18"/>
              </w:rPr>
              <w:t>号）第二十六条：“泄露国家秘密、工作秘密，或者泄露因履行职责掌握的商业秘密、个人隐私，造成不良后果的，给予警告、记过或者记大过处分；情节较重的，给予降级或者撤职处分；情节严重的，给予开除处分。”</w:t>
            </w:r>
          </w:p>
          <w:p>
            <w:pPr>
              <w:adjustRightInd w:val="0"/>
              <w:snapToGrid w:val="0"/>
              <w:spacing w:line="240" w:lineRule="exact"/>
              <w:ind w:firstLine="360" w:firstLineChars="200"/>
              <w:rPr>
                <w:rFonts w:ascii="宋体" w:cs="宋体"/>
                <w:sz w:val="18"/>
                <w:szCs w:val="18"/>
              </w:rPr>
            </w:pPr>
            <w:r>
              <w:rPr>
                <w:rFonts w:ascii="宋体" w:hAnsi="宋体" w:cs="宋体"/>
                <w:sz w:val="18"/>
                <w:szCs w:val="18"/>
              </w:rPr>
              <w:t>5.</w:t>
            </w:r>
            <w:r>
              <w:rPr>
                <w:rFonts w:hint="eastAsia" w:ascii="宋体" w:hAnsi="宋体" w:cs="宋体"/>
                <w:sz w:val="18"/>
                <w:szCs w:val="18"/>
              </w:rPr>
              <w:t>【法规】《行政机关公务员处分条例》（国务院令第</w:t>
            </w:r>
            <w:r>
              <w:rPr>
                <w:rFonts w:ascii="宋体" w:hAnsi="宋体" w:cs="宋体"/>
                <w:sz w:val="18"/>
                <w:szCs w:val="18"/>
              </w:rPr>
              <w:t>495</w:t>
            </w:r>
            <w:r>
              <w:rPr>
                <w:rFonts w:hint="eastAsia" w:ascii="宋体" w:hAnsi="宋体" w:cs="宋体"/>
                <w:sz w:val="18"/>
                <w:szCs w:val="18"/>
              </w:rPr>
              <w:t>号）第二十八条：“严重违反公务员职业道德，工作作风懈怠、工作态度恶劣，造成不良影响的，给予警告、记过或者记大过处分。”</w:t>
            </w:r>
          </w:p>
          <w:p>
            <w:pPr>
              <w:adjustRightInd w:val="0"/>
              <w:snapToGrid w:val="0"/>
              <w:spacing w:line="240" w:lineRule="exact"/>
              <w:ind w:firstLine="360" w:firstLineChars="200"/>
              <w:rPr>
                <w:rFonts w:ascii="宋体" w:cs="宋体"/>
                <w:sz w:val="18"/>
                <w:szCs w:val="18"/>
              </w:rPr>
            </w:pPr>
            <w:r>
              <w:rPr>
                <w:rFonts w:ascii="宋体" w:hAnsi="宋体" w:cs="宋体"/>
                <w:sz w:val="18"/>
                <w:szCs w:val="18"/>
              </w:rPr>
              <w:t>6.</w:t>
            </w:r>
            <w:r>
              <w:rPr>
                <w:rFonts w:hint="eastAsia" w:ascii="宋体" w:hAnsi="宋体" w:cs="宋体"/>
                <w:sz w:val="18"/>
                <w:szCs w:val="18"/>
              </w:rPr>
              <w:t>同</w:t>
            </w:r>
            <w:r>
              <w:rPr>
                <w:rFonts w:ascii="宋体" w:hAnsi="宋体" w:cs="宋体"/>
                <w:sz w:val="18"/>
                <w:szCs w:val="18"/>
              </w:rPr>
              <w:t>5</w:t>
            </w:r>
            <w:r>
              <w:rPr>
                <w:rFonts w:hint="eastAsia" w:ascii="宋体" w:hAnsi="宋体" w:cs="宋体"/>
                <w:sz w:val="18"/>
                <w:szCs w:val="18"/>
              </w:rPr>
              <w:t>。</w:t>
            </w:r>
          </w:p>
        </w:tc>
        <w:tc>
          <w:tcPr>
            <w:tcW w:w="709" w:type="dxa"/>
            <w:vAlign w:val="center"/>
          </w:tcPr>
          <w:p>
            <w:pPr>
              <w:adjustRightInd w:val="0"/>
              <w:snapToGrid w:val="0"/>
              <w:spacing w:line="240" w:lineRule="exact"/>
              <w:rPr>
                <w:szCs w:val="21"/>
              </w:rPr>
            </w:pPr>
          </w:p>
        </w:tc>
      </w:tr>
    </w:tbl>
    <w:p>
      <w:pPr>
        <w:adjustRightInd w:val="0"/>
        <w:snapToGrid w:val="0"/>
        <w:spacing w:line="590" w:lineRule="exact"/>
        <w:rPr>
          <w:rFonts w:eastAsia="方正小标宋简体"/>
          <w:sz w:val="36"/>
          <w:szCs w:val="36"/>
        </w:rPr>
        <w:sectPr>
          <w:headerReference r:id="rId3" w:type="default"/>
          <w:footerReference r:id="rId4" w:type="default"/>
          <w:pgSz w:w="23814" w:h="16840" w:orient="landscape"/>
          <w:pgMar w:top="284" w:right="1440" w:bottom="1843" w:left="1440" w:header="851" w:footer="992" w:gutter="0"/>
          <w:cols w:space="425" w:num="1"/>
          <w:docGrid w:type="lines" w:linePitch="312" w:charSpace="0"/>
        </w:sectPr>
      </w:pPr>
    </w:p>
    <w:p>
      <w:pPr>
        <w:adjustRightInd w:val="0"/>
        <w:snapToGrid w:val="0"/>
        <w:spacing w:line="590" w:lineRule="exact"/>
      </w:pPr>
    </w:p>
    <w:sectPr>
      <w:footerReference r:id="rId5"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1</w:t>
                </w:r>
                <w:r>
                  <w:rPr>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604F"/>
    <w:rsid w:val="00067C86"/>
    <w:rsid w:val="00091C74"/>
    <w:rsid w:val="000B2F74"/>
    <w:rsid w:val="000E25C0"/>
    <w:rsid w:val="00124E93"/>
    <w:rsid w:val="00130D72"/>
    <w:rsid w:val="001411F5"/>
    <w:rsid w:val="0015639A"/>
    <w:rsid w:val="00186820"/>
    <w:rsid w:val="001A0B4F"/>
    <w:rsid w:val="001C590A"/>
    <w:rsid w:val="001C604F"/>
    <w:rsid w:val="001D7FF9"/>
    <w:rsid w:val="002011B2"/>
    <w:rsid w:val="00225BC9"/>
    <w:rsid w:val="0024467C"/>
    <w:rsid w:val="002471DA"/>
    <w:rsid w:val="00253C9E"/>
    <w:rsid w:val="002B3E8B"/>
    <w:rsid w:val="002C15D7"/>
    <w:rsid w:val="003065C7"/>
    <w:rsid w:val="003133CD"/>
    <w:rsid w:val="00366D4E"/>
    <w:rsid w:val="003E4C40"/>
    <w:rsid w:val="003F6C08"/>
    <w:rsid w:val="00404AE9"/>
    <w:rsid w:val="00435F08"/>
    <w:rsid w:val="00447C67"/>
    <w:rsid w:val="00457BC7"/>
    <w:rsid w:val="004943DD"/>
    <w:rsid w:val="004A1895"/>
    <w:rsid w:val="004B1CE8"/>
    <w:rsid w:val="004F0DB6"/>
    <w:rsid w:val="00563CB3"/>
    <w:rsid w:val="00593A5B"/>
    <w:rsid w:val="005C49D5"/>
    <w:rsid w:val="005E3B57"/>
    <w:rsid w:val="005F5EC4"/>
    <w:rsid w:val="006244BD"/>
    <w:rsid w:val="006365BF"/>
    <w:rsid w:val="00664AAD"/>
    <w:rsid w:val="006A2C7A"/>
    <w:rsid w:val="007062E2"/>
    <w:rsid w:val="0074272C"/>
    <w:rsid w:val="00792284"/>
    <w:rsid w:val="00793568"/>
    <w:rsid w:val="007B7172"/>
    <w:rsid w:val="007F746F"/>
    <w:rsid w:val="00806970"/>
    <w:rsid w:val="00837658"/>
    <w:rsid w:val="008378A0"/>
    <w:rsid w:val="00842C95"/>
    <w:rsid w:val="008648FE"/>
    <w:rsid w:val="008E48D9"/>
    <w:rsid w:val="008E5639"/>
    <w:rsid w:val="00900E02"/>
    <w:rsid w:val="009256B2"/>
    <w:rsid w:val="0094581E"/>
    <w:rsid w:val="00966029"/>
    <w:rsid w:val="009963BA"/>
    <w:rsid w:val="009A2B8E"/>
    <w:rsid w:val="009F5E53"/>
    <w:rsid w:val="00A039F2"/>
    <w:rsid w:val="00A33DD5"/>
    <w:rsid w:val="00A51EAD"/>
    <w:rsid w:val="00A7687F"/>
    <w:rsid w:val="00A85BC0"/>
    <w:rsid w:val="00A96FC6"/>
    <w:rsid w:val="00AC710A"/>
    <w:rsid w:val="00B073A8"/>
    <w:rsid w:val="00B30A60"/>
    <w:rsid w:val="00B31001"/>
    <w:rsid w:val="00B37261"/>
    <w:rsid w:val="00B774E9"/>
    <w:rsid w:val="00B9183F"/>
    <w:rsid w:val="00C255AD"/>
    <w:rsid w:val="00C31105"/>
    <w:rsid w:val="00C614C0"/>
    <w:rsid w:val="00C641EB"/>
    <w:rsid w:val="00C81C19"/>
    <w:rsid w:val="00C9724F"/>
    <w:rsid w:val="00D07C9A"/>
    <w:rsid w:val="00D27C18"/>
    <w:rsid w:val="00D36AB4"/>
    <w:rsid w:val="00D617E9"/>
    <w:rsid w:val="00D729CF"/>
    <w:rsid w:val="00DD51D2"/>
    <w:rsid w:val="00DD56BE"/>
    <w:rsid w:val="00DD6E32"/>
    <w:rsid w:val="00DD7F2A"/>
    <w:rsid w:val="00DE66F5"/>
    <w:rsid w:val="00E00725"/>
    <w:rsid w:val="00E23D1E"/>
    <w:rsid w:val="00E27175"/>
    <w:rsid w:val="00E44B6E"/>
    <w:rsid w:val="00E6152D"/>
    <w:rsid w:val="00E8644E"/>
    <w:rsid w:val="00E97F19"/>
    <w:rsid w:val="00EC21C9"/>
    <w:rsid w:val="00ED0712"/>
    <w:rsid w:val="00F05582"/>
    <w:rsid w:val="00F22B9A"/>
    <w:rsid w:val="00F7706B"/>
    <w:rsid w:val="00F90D1C"/>
    <w:rsid w:val="00F95A3F"/>
    <w:rsid w:val="00FD5C32"/>
    <w:rsid w:val="7EAF6B4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cs="Times New Roman"/>
      <w:sz w:val="18"/>
      <w:szCs w:val="18"/>
    </w:rPr>
  </w:style>
  <w:style w:type="character" w:customStyle="1" w:styleId="7">
    <w:name w:val="页脚 Char"/>
    <w:basedOn w:val="5"/>
    <w:link w:val="2"/>
    <w:qFormat/>
    <w:locked/>
    <w:uiPriority w:val="99"/>
    <w:rPr>
      <w:rFonts w:cs="Times New Roman"/>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844</Words>
  <Characters>4817</Characters>
  <Lines>40</Lines>
  <Paragraphs>11</Paragraphs>
  <TotalTime>332</TotalTime>
  <ScaleCrop>false</ScaleCrop>
  <LinksUpToDate>false</LinksUpToDate>
  <CharactersWithSpaces>5650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2017-05-16T17:05:00Z</dcterms:created>
  <dc:creator>fcg</dc:creator>
  <cp:lastModifiedBy>潘月</cp:lastModifiedBy>
  <cp:lastPrinted>2017-05-17T17:51:00Z</cp:lastPrinted>
  <dcterms:modified xsi:type="dcterms:W3CDTF">2025-10-24T10:37:41Z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ies>
</file>